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  <w:t>目标：2个月后拿到投资人25 万美金投资。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</w:rPr>
        <w:t>核心业务和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  <w:t>商业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</w:rPr>
        <w:t>模式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  <w:t xml:space="preserve">订阅（。。。。。详尽内容）（至少200人订阅）+ 授课 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</w:rPr>
        <w:t>人员架构模式和技术、销售和营销策略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  <w:t>增长率：营收-成本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团队+产品开发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产品开发</w:t>
      </w: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APP</w:t>
      </w:r>
    </w:p>
    <w:p>
      <w:p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策略数据构架到app上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爬虫交易单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构建策略图书馆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均线交易系统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.突破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回撤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机器学习的策略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NL（1M）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团队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</w:rPr>
        <w:t>架构模式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 xml:space="preserve"> 扁平化管理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策略开发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APP开发（构架策略+爬虫）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WEB+APP运营+销售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highlight w:val="yellow"/>
          <w:shd w:val="clear" w:fill="FFFFFF"/>
          <w:lang w:val="en-US" w:eastAsia="zh-CN"/>
        </w:rPr>
        <w:t>广告-谷歌SEO，Ins，Email. 公关和大v（外国）合作，借流量走。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trike/>
          <w:dstrike w:val="0"/>
          <w:color w:val="121212"/>
          <w:spacing w:val="0"/>
          <w:sz w:val="22"/>
          <w:szCs w:val="22"/>
          <w:shd w:val="clear" w:fill="FFFFFF"/>
          <w:lang w:val="en-US" w:eastAsia="zh-CN"/>
        </w:rPr>
        <w:t>订阅号，futu，雪球，Youtube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）引流不做-慢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招聘：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做Web APP + 爬虫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15$/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Hour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h/一周$300 一月1200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细化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策略开发（一周 32Hour 一周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$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480一月1920）+ peipei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细化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运营</w:t>
      </w:r>
    </w:p>
    <w:p>
      <w:pP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Frank：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web app 开发，授课，公开课 。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Peipei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：价值投资者策略优化，策略数据的存储和构架到app上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爬虫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，策略每天更新+新闻。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 xml:space="preserve">5/18/21- 5/29/21 1.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办公室 2.  策略定向plan  3. 招聘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5/24/21： 招聘广告：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 xml:space="preserve">5/31/21-6/4/21 </w:t>
      </w:r>
    </w:p>
    <w:p>
      <w:pP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启动项目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 xml:space="preserve">招聘广告：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策略定向：From alpha factor research to portfolio management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价值投资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技术面、回撤买入和突破买入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机器学习寻找波段头部，底部模式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数据分析方法寻找波段动能起点和终点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ascii="Lato" w:hAnsi="Lato" w:eastAsia="Lato" w:cs="Lato"/>
          <w:b/>
          <w:i w:val="0"/>
          <w:caps w:val="0"/>
          <w:color w:val="272727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Pricing/Feeds:</w:t>
      </w:r>
      <w:r>
        <w:rPr>
          <w:rFonts w:hint="default" w:ascii="Lato" w:hAnsi="Lato" w:eastAsia="Lato" w:cs="Lato"/>
          <w:i w:val="0"/>
          <w:caps w:val="0"/>
          <w:color w:val="272727"/>
          <w:spacing w:val="0"/>
          <w:sz w:val="27"/>
          <w:szCs w:val="27"/>
          <w:shd w:val="clear" w:fill="FFFFFF"/>
        </w:rPr>
        <w:t> 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ascii="Lato" w:hAnsi="Lato" w:eastAsia="Lato" w:cs="Lato"/>
          <w:b/>
          <w:i w:val="0"/>
          <w:caps w:val="0"/>
          <w:color w:val="272727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Signals/Algorithm(s):</w:t>
      </w:r>
      <w:r>
        <w:rPr>
          <w:rFonts w:hint="default" w:ascii="Lato" w:hAnsi="Lato" w:eastAsia="Lato" w:cs="Lato"/>
          <w:i w:val="0"/>
          <w:caps w:val="0"/>
          <w:color w:val="272727"/>
          <w:spacing w:val="0"/>
          <w:sz w:val="27"/>
          <w:szCs w:val="27"/>
          <w:shd w:val="clear" w:fill="FFFFFF"/>
        </w:rPr>
        <w:t> 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ascii="Lato" w:hAnsi="Lato" w:eastAsia="Lato" w:cs="Lato"/>
          <w:b/>
          <w:i w:val="0"/>
          <w:caps w:val="0"/>
          <w:color w:val="272727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Execution/Orders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DEBAA"/>
    <w:multiLevelType w:val="singleLevel"/>
    <w:tmpl w:val="C7EDE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637024"/>
    <w:multiLevelType w:val="singleLevel"/>
    <w:tmpl w:val="2863702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914FE4"/>
    <w:multiLevelType w:val="singleLevel"/>
    <w:tmpl w:val="31914F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7E1C3D0"/>
    <w:multiLevelType w:val="singleLevel"/>
    <w:tmpl w:val="67E1C3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C5"/>
    <w:rsid w:val="005E19C5"/>
    <w:rsid w:val="1BCD436A"/>
    <w:rsid w:val="44CB0C62"/>
    <w:rsid w:val="5C0B577D"/>
    <w:rsid w:val="6AC05E9B"/>
    <w:rsid w:val="7D5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2021-05-18T19:54:00Z</dcterms:created>
  <dc:creator>frank</dc:creator>
  <cp:lastModifiedBy>frank</cp:lastModifiedBy>
  <dcterms:modified xsi:type="dcterms:W3CDTF">2021-05-20T20:36:24Z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