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lang w:val="en-US" w:eastAsia="zh-CN"/>
        </w:rPr>
      </w:pPr>
      <w:r>
        <w:rPr>
          <w:rFonts w:hint="eastAsia"/>
          <w:b/>
          <w:bCs/>
          <w:lang w:val="en-US" w:eastAsia="zh-CN"/>
        </w:rPr>
        <w:t>从</w:t>
      </w:r>
      <w:r>
        <w:rPr>
          <w:rFonts w:hint="eastAsia"/>
          <w:b/>
          <w:bCs/>
        </w:rPr>
        <w:t>明星基金经理科尔曼的那</w:t>
      </w:r>
      <w:r>
        <w:rPr>
          <w:rFonts w:hint="eastAsia"/>
          <w:b/>
          <w:bCs/>
          <w:lang w:val="en-US" w:eastAsia="zh-CN"/>
        </w:rPr>
        <w:t>里学到的东西</w:t>
      </w:r>
    </w:p>
    <w:p>
      <w:pPr>
        <w:jc w:val="center"/>
        <w:rPr>
          <w:rFonts w:hint="eastAsia"/>
          <w:b/>
          <w:bCs/>
        </w:rPr>
      </w:pPr>
    </w:p>
    <w:p>
      <w:pPr>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蔡斯·科尔曼（chase Coleman) 作为华尔街“宠儿”， 却一贯保持低调的作风。但其对冲基金-老虎全球（Tiger Global Management) 却在金融界</w:t>
      </w:r>
      <w:r>
        <w:rPr>
          <w:rFonts w:hint="eastAsia" w:asciiTheme="minorEastAsia" w:hAnsiTheme="minorEastAsia" w:cstheme="minorEastAsia"/>
          <w:b w:val="0"/>
          <w:bCs w:val="0"/>
          <w:sz w:val="18"/>
          <w:szCs w:val="18"/>
          <w:lang w:val="en-US" w:eastAsia="zh-CN"/>
        </w:rPr>
        <w:t>家喻户晓</w:t>
      </w:r>
      <w:r>
        <w:rPr>
          <w:rFonts w:hint="eastAsia" w:asciiTheme="minorEastAsia" w:hAnsiTheme="minorEastAsia" w:eastAsiaTheme="minorEastAsia" w:cstheme="minorEastAsia"/>
          <w:b w:val="0"/>
          <w:bCs w:val="0"/>
          <w:sz w:val="18"/>
          <w:szCs w:val="18"/>
        </w:rPr>
        <w:t>。在老虎环球成立20周年之初，恰逢该公司20年业绩也爆发式的上涨48%，返还给投资者104亿美元的回报。科尔曼借此机会投资者发出了长达6页的20周年纪念信。这封信总的来讲就是回顾了老虎环球过去的成就和错误</w:t>
      </w:r>
      <w:r>
        <w:rPr>
          <w:rFonts w:hint="eastAsia" w:asciiTheme="minorEastAsia" w:hAnsiTheme="minorEastAsia" w:cstheme="minorEastAsia"/>
          <w:b w:val="0"/>
          <w:bCs w:val="0"/>
          <w:sz w:val="18"/>
          <w:szCs w:val="18"/>
          <w:lang w:val="en-US" w:eastAsia="zh-CN"/>
        </w:rPr>
        <w:t>经验</w:t>
      </w:r>
      <w:r>
        <w:rPr>
          <w:rFonts w:hint="eastAsia" w:asciiTheme="minorEastAsia" w:hAnsiTheme="minorEastAsia" w:eastAsiaTheme="minorEastAsia" w:cstheme="minorEastAsia"/>
          <w:b w:val="0"/>
          <w:bCs w:val="0"/>
          <w:sz w:val="18"/>
          <w:szCs w:val="18"/>
        </w:rPr>
        <w:t>。故此，小编今天特意带大家来看下科尔曼的投资故事。</w:t>
      </w:r>
    </w:p>
    <w:p>
      <w:pPr>
        <w:jc w:val="center"/>
        <w:rPr>
          <w:rFonts w:hint="eastAsia" w:asciiTheme="minorEastAsia" w:hAnsiTheme="minorEastAsia" w:eastAsiaTheme="minorEastAsia" w:cstheme="minorEastAsia"/>
          <w:b w:val="0"/>
          <w:bCs w:val="0"/>
          <w:sz w:val="18"/>
          <w:szCs w:val="18"/>
        </w:rPr>
      </w:pPr>
    </w:p>
    <w:p>
      <w:pPr>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科尔曼的投资之旅</w:t>
      </w:r>
    </w:p>
    <w:p>
      <w:pPr>
        <w:jc w:val="center"/>
        <w:rPr>
          <w:rFonts w:hint="eastAsia" w:asciiTheme="minorEastAsia" w:hAnsiTheme="minorEastAsia" w:eastAsiaTheme="minorEastAsia" w:cstheme="minorEastAsia"/>
          <w:b/>
          <w:bCs/>
          <w:sz w:val="18"/>
          <w:szCs w:val="18"/>
        </w:rPr>
      </w:pPr>
    </w:p>
    <w:p>
      <w:pPr>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在一个以收益率论成败的行业中，年仅45岁的科尔曼头顶笼罩着未来对冲基金巨星的光环，他的成功除了个人的聪明才智及勤奋之外，不能忽略的是其投资导师朱利安·罗伯逊(Julian　Robertson)的提携。他是在罗伯逊（Julian Robertson）著名的老虎基金经受过锻炼的“小老虎”。2000年，用罗伯逊提供的2,500万美元参股资金开始自立门户。由于当时正值互联网泡沫破灭时期，当时的科技股并不火热，专注于科技公司且刚刚起步的科尔曼可谓出师不利。于是科尔曼不得不寻找下一个新的目标。通过追踪查找互联网最大广告客户群体，注意到了一个最容易普遍忽略的国家 - 中国，他们发现一些小型中国电子商务公司生态系类似于淘宝，加上中国庞大的人口基数，罗伯逊推算出未来3-5年，中国互联网的普及率会增长3-5倍。于是在2002年买入新浪，搜狐和网易（当时的“中国雅虎”），一年后，市值翻了好几倍，一度成为早期赢家，后来也牵手了艺龙（ELong），卓越网（Joyo）和阿里巴巴（Alibaba）。</w:t>
      </w:r>
    </w:p>
    <w:p>
      <w:pPr>
        <w:jc w:val="center"/>
        <w:rPr>
          <w:rFonts w:hint="eastAsia" w:asciiTheme="minorEastAsia" w:hAnsiTheme="minorEastAsia" w:eastAsiaTheme="minorEastAsia" w:cstheme="minorEastAsia"/>
          <w:b w:val="0"/>
          <w:bCs w:val="0"/>
          <w:sz w:val="18"/>
          <w:szCs w:val="18"/>
        </w:rPr>
      </w:pPr>
    </w:p>
    <w:p>
      <w:pPr>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因为这些公司是私人的且流动性差，Tiger Global为此成立了一个专门的长期基金，称为Tiger Global Private Investment Partners，据信称，该基金在2004年第一天资本已增长至7580万美元。遗憾的是，后来科尔曼不在选择继续对阿里巴巴的投资-以2.5亿美元的估值获得4％的股份。而如今，阿里巴巴4％的股份在公开市场上的价值约为250亿美元。值得一提的是，科尔曼在2011年也大赚了一笔，其基金在一年内年上涨了45%，基本上比所有其他对冲基金表现都更好。这还要归功于他投资了Facebook、Linkedin和Zynga之类的热门科技公司以及印度、巴西等新兴市场的初创公司。虽然罗伯逊创立的老虎基金辉煌业绩，举世闻名。然而，老虎环球青出于蓝，在初期就已经参与Facebook上市前的募资但因估值太高最后也未能长期持有，在最近也入股TikTok (抖音)的母公司，抢攻亚洲市场。在他全球化的眼光下，从新兴的科技股到互联网企业，都被纳入他的投资版图中。</w:t>
      </w:r>
    </w:p>
    <w:p>
      <w:pPr>
        <w:jc w:val="left"/>
        <w:rPr>
          <w:rFonts w:hint="eastAsia" w:asciiTheme="minorEastAsia" w:hAnsiTheme="minorEastAsia" w:eastAsiaTheme="minorEastAsia" w:cstheme="minorEastAsia"/>
          <w:b w:val="0"/>
          <w:bCs w:val="0"/>
          <w:sz w:val="18"/>
          <w:szCs w:val="18"/>
        </w:rPr>
      </w:pPr>
    </w:p>
    <w:p>
      <w:pPr>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投资者可借鉴之处 “双向</w:t>
      </w:r>
      <w:r>
        <w:rPr>
          <w:rFonts w:hint="eastAsia" w:asciiTheme="minorEastAsia" w:hAnsiTheme="minorEastAsia" w:cstheme="minorEastAsia"/>
          <w:b/>
          <w:bCs/>
          <w:sz w:val="18"/>
          <w:szCs w:val="18"/>
          <w:lang w:val="en-US" w:eastAsia="zh-CN"/>
        </w:rPr>
        <w:t>Alpha</w:t>
      </w:r>
      <w:r>
        <w:rPr>
          <w:rFonts w:hint="eastAsia" w:asciiTheme="minorEastAsia" w:hAnsiTheme="minorEastAsia" w:eastAsiaTheme="minorEastAsia" w:cstheme="minorEastAsia"/>
          <w:b/>
          <w:bCs/>
          <w:sz w:val="18"/>
          <w:szCs w:val="18"/>
        </w:rPr>
        <w:t>”</w:t>
      </w:r>
    </w:p>
    <w:p>
      <w:pPr>
        <w:jc w:val="center"/>
        <w:rPr>
          <w:rFonts w:hint="eastAsia" w:asciiTheme="minorEastAsia" w:hAnsiTheme="minorEastAsia" w:eastAsiaTheme="minorEastAsia" w:cstheme="minorEastAsia"/>
          <w:b/>
          <w:bCs/>
          <w:sz w:val="18"/>
          <w:szCs w:val="18"/>
        </w:rPr>
      </w:pPr>
    </w:p>
    <w:p>
      <w:pPr>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罗伯逊及其麾下“幼虎”所采取的是“双向alpha”策略加上长短周期交易模式，令基金得以获得超高收益率。这种策略简单说就是依靠精选行业和个股，以做多或者做空两种方式超越大盘。在这样一种策略之下，作为一个典型的对冲基金经理，科尔曼还利用标准普尔500指数基金(SPY)和纳斯达克100指数基金(QQQ)这两个工具来对冲做多股票的风险。在此基础上，科尔曼投资偏好倾斜于新兴的科技股。类似于脸书和亚马逊等新兴技术或互联网公司都是科尔曼的投资兴趣所在。根据对冲基金研究公司的数据，股票对冲基金在平均在2018年下跌约6％。但是科尔曼管理的对冲基金却逆市增长了近14％，令蔡斯·科尔曼的投资传奇延续下去。</w:t>
      </w:r>
    </w:p>
    <w:p>
      <w:pPr>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科尔曼的投资理念是买入被市场低估的公司，例如软银集团等等，然后如狩猎似的静心等待升值的时机来临。所以投资者们，应以此为鉴，不把握好市场风向同时不要短期的市场波动而改变长远的策略，只有中长线的投资能避开市场的杂音，从而才能把握长期的走势。</w:t>
      </w:r>
    </w:p>
    <w:p>
      <w:pPr>
        <w:jc w:val="center"/>
        <w:rPr>
          <w:rFonts w:hint="eastAsia" w:asciiTheme="minorEastAsia" w:hAnsiTheme="minorEastAsia" w:eastAsiaTheme="minorEastAsia" w:cstheme="minorEastAsia"/>
          <w:b w:val="0"/>
          <w:bCs w:val="0"/>
          <w:sz w:val="18"/>
          <w:szCs w:val="18"/>
        </w:rPr>
      </w:pPr>
    </w:p>
    <w:p>
      <w:pPr>
        <w:jc w:val="left"/>
        <w:rPr>
          <w:rFonts w:hint="eastAsia" w:asciiTheme="minorEastAsia" w:hAnsiTheme="minorEastAsia" w:eastAsiaTheme="minorEastAsia" w:cstheme="minorEastAsia"/>
          <w:b w:val="0"/>
          <w:bCs w:val="0"/>
          <w:sz w:val="18"/>
          <w:szCs w:val="18"/>
        </w:rPr>
      </w:pPr>
      <w:r>
        <w:rPr>
          <w:rFonts w:hint="eastAsia" w:asciiTheme="minorEastAsia" w:hAnsiTheme="minorEastAsia" w:cstheme="minorEastAsia"/>
          <w:b w:val="0"/>
          <w:bCs w:val="0"/>
          <w:sz w:val="18"/>
          <w:szCs w:val="18"/>
          <w:lang w:val="en-US" w:eastAsia="zh-CN"/>
        </w:rPr>
        <w:t>从过去</w:t>
      </w:r>
      <w:r>
        <w:rPr>
          <w:rFonts w:hint="eastAsia" w:asciiTheme="minorEastAsia" w:hAnsiTheme="minorEastAsia" w:eastAsiaTheme="minorEastAsia" w:cstheme="minorEastAsia"/>
          <w:b w:val="0"/>
          <w:bCs w:val="0"/>
          <w:sz w:val="18"/>
          <w:szCs w:val="18"/>
        </w:rPr>
        <w:t>20年的中的提取的教训中， 科尔曼</w:t>
      </w:r>
      <w:r>
        <w:rPr>
          <w:rFonts w:hint="eastAsia" w:asciiTheme="minorEastAsia" w:hAnsiTheme="minorEastAsia" w:cstheme="minorEastAsia"/>
          <w:b w:val="0"/>
          <w:bCs w:val="0"/>
          <w:sz w:val="18"/>
          <w:szCs w:val="18"/>
          <w:lang w:val="en-US" w:eastAsia="zh-CN"/>
        </w:rPr>
        <w:t>指出</w:t>
      </w:r>
      <w:r>
        <w:rPr>
          <w:rFonts w:hint="eastAsia" w:asciiTheme="minorEastAsia" w:hAnsiTheme="minorEastAsia" w:eastAsiaTheme="minorEastAsia" w:cstheme="minorEastAsia"/>
          <w:b w:val="0"/>
          <w:bCs w:val="0"/>
          <w:sz w:val="18"/>
          <w:szCs w:val="18"/>
        </w:rPr>
        <w:t>，未来投资重点会着重于美国，中国，印度企业和金融技术上，该公司表示，这些领域“仍然保留在我们这一代人定义的经济主题中。”与此同时，相信未来发展趋势将以科技为主线，从人工智能到更大范围的决策自动化，从而提高效率，并进一步将数字嵌入我们的日常生活中。</w:t>
      </w:r>
    </w:p>
    <w:p>
      <w:pPr>
        <w:jc w:val="both"/>
        <w:rPr>
          <w:rFonts w:hint="eastAsia" w:asciiTheme="minorEastAsia" w:hAnsiTheme="minorEastAsia" w:eastAsiaTheme="minorEastAsia" w:cstheme="minorEastAsia"/>
          <w:b w:val="0"/>
          <w:bCs w:val="0"/>
          <w:sz w:val="18"/>
          <w:szCs w:val="18"/>
        </w:rPr>
      </w:pPr>
    </w:p>
    <w:p>
      <w:pPr>
        <w:jc w:val="left"/>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val="0"/>
          <w:bCs w:val="0"/>
          <w:sz w:val="18"/>
          <w:szCs w:val="18"/>
        </w:rPr>
        <w:t>小编看来作为个人投资者，科尔曼及其基金过去20年中还是可以学习到很多经验的。</w:t>
      </w:r>
      <w:r>
        <w:rPr>
          <w:rFonts w:hint="eastAsia" w:asciiTheme="minorEastAsia" w:hAnsiTheme="minorEastAsia" w:eastAsiaTheme="minorEastAsia" w:cstheme="minorEastAsia"/>
          <w:b/>
          <w:bCs/>
          <w:sz w:val="18"/>
          <w:szCs w:val="18"/>
        </w:rPr>
        <w:t>一是有对资本市场机会的灵敏嗅觉,通过战略和财务布局新兴潜在机会(科尔曼对早期中国互联网的布局), 如同狩猎一般，乐趣与风险并存，前期布局，等待时机来临即是丰收之时。</w:t>
      </w:r>
    </w:p>
    <w:p>
      <w:pPr>
        <w:jc w:val="left"/>
        <w:rPr>
          <w:rFonts w:hint="eastAsia" w:asciiTheme="minorEastAsia" w:hAnsiTheme="minorEastAsia" w:eastAsiaTheme="minorEastAsia" w:cstheme="minorEastAsia"/>
          <w:b w:val="0"/>
          <w:bCs w:val="0"/>
          <w:sz w:val="18"/>
          <w:szCs w:val="18"/>
        </w:rPr>
      </w:pPr>
    </w:p>
    <w:p>
      <w:pPr>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二是作为投</w:t>
      </w:r>
      <w:bookmarkStart w:id="0" w:name="_GoBack"/>
      <w:bookmarkEnd w:id="0"/>
      <w:r>
        <w:rPr>
          <w:rFonts w:hint="eastAsia" w:asciiTheme="minorEastAsia" w:hAnsiTheme="minorEastAsia" w:eastAsiaTheme="minorEastAsia" w:cstheme="minorEastAsia"/>
          <w:b w:val="0"/>
          <w:bCs w:val="0"/>
          <w:sz w:val="18"/>
          <w:szCs w:val="18"/>
        </w:rPr>
        <w:t>资人需要有</w:t>
      </w:r>
      <w:r>
        <w:rPr>
          <w:rFonts w:hint="eastAsia" w:asciiTheme="minorEastAsia" w:hAnsiTheme="minorEastAsia" w:eastAsiaTheme="minorEastAsia" w:cstheme="minorEastAsia"/>
          <w:b/>
          <w:bCs/>
          <w:sz w:val="18"/>
          <w:szCs w:val="18"/>
        </w:rPr>
        <w:t>多个系统的思维</w:t>
      </w:r>
      <w:r>
        <w:rPr>
          <w:rFonts w:hint="eastAsia" w:asciiTheme="minorEastAsia" w:hAnsiTheme="minorEastAsia" w:eastAsiaTheme="minorEastAsia" w:cstheme="minorEastAsia"/>
          <w:b w:val="0"/>
          <w:bCs w:val="0"/>
          <w:sz w:val="18"/>
          <w:szCs w:val="18"/>
        </w:rPr>
        <w:t>(短，中，长期投资）如果能把两个以上的系统结合起来分析一个问题，就会得出更加可靠的结论，但知易行难，只有在自己慢慢摸索过，看着这些逻辑推理搭建好了之后，接下来的事情宛如中国卷轴山水画一般，随着时间开始慢慢展开，那一刻，才能真正领悟到时间，投资的真谛。</w:t>
      </w:r>
    </w:p>
    <w:p>
      <w:pPr>
        <w:jc w:val="center"/>
        <w:rPr>
          <w:rFonts w:hint="eastAsia" w:asciiTheme="minorEastAsia" w:hAnsiTheme="minorEastAsia" w:eastAsiaTheme="minorEastAsia" w:cstheme="minorEastAsia"/>
          <w:b w:val="0"/>
          <w:bCs w:val="0"/>
          <w:sz w:val="18"/>
          <w:szCs w:val="18"/>
        </w:rPr>
      </w:pPr>
    </w:p>
    <w:p>
      <w:pPr>
        <w:jc w:val="center"/>
        <w:rPr>
          <w:rFonts w:hint="eastAsia"/>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D3748"/>
    <w:rsid w:val="01DE5FEA"/>
    <w:rsid w:val="0C0C32AC"/>
    <w:rsid w:val="1B8D4653"/>
    <w:rsid w:val="329D3748"/>
    <w:rsid w:val="372F4304"/>
    <w:rsid w:val="428772D4"/>
    <w:rsid w:val="6C561974"/>
    <w:rsid w:val="7A56204E"/>
    <w:rsid w:val="7E650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1744</Words>
  <Characters>1949</Characters>
  <Lines>0</Lines>
  <Paragraphs>0</Paragraphs>
  <TotalTime>31</TotalTime>
  <ScaleCrop>false</ScaleCrop>
  <LinksUpToDate>false</LinksUpToDate>
  <CharactersWithSpaces>1968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2021-03-18T20:54:00Z</dcterms:created>
  <dc:creator>frank</dc:creator>
  <cp:lastModifiedBy>frank</cp:lastModifiedBy>
  <dcterms:modified xsi:type="dcterms:W3CDTF">2021-03-18T21:31:33Z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