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b/>
          <w:bCs/>
          <w:sz w:val="20"/>
          <w:szCs w:val="20"/>
        </w:rPr>
      </w:pPr>
      <w:bookmarkStart w:id="0" w:name="_b4kibykmjwyc" w:colFirst="0" w:colLast="0"/>
      <w:bookmarkEnd w:id="0"/>
      <w:r>
        <w:rPr>
          <w:rFonts w:ascii="Arial Unicode MS" w:hAnsi="Arial Unicode MS" w:eastAsia="Arial Unicode MS" w:cs="Arial Unicode MS"/>
          <w:b/>
          <w:bCs/>
          <w:sz w:val="20"/>
          <w:szCs w:val="20"/>
          <w:rtl w:val="0"/>
        </w:rPr>
        <w:t>年内飙升27%的黑马- 能源板块能否维系“王者”威望？</w:t>
      </w:r>
    </w:p>
    <w:p>
      <w:pPr>
        <w:rPr>
          <w:b/>
          <w:bCs/>
          <w:color w:val="auto"/>
          <w:sz w:val="16"/>
          <w:szCs w:val="16"/>
        </w:rPr>
      </w:pPr>
    </w:p>
    <w:p>
      <w:pPr>
        <w:rPr>
          <w:rFonts w:hint="eastAsia"/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>在一系列证券交易基金（ETF）的表现来看，能源股依然是今年以来美股表现较好的板块。相比之下，其他自去年3月低点强劲反弹的板块将在2021年失色。不过最近几周，其他一些落后板块又开始表现出相对强劲，这显示板块轮动或许已经酝酿。</w:t>
      </w:r>
    </w:p>
    <w:p>
      <w:pPr>
        <w:rPr>
          <w:rFonts w:hint="eastAsia"/>
          <w:color w:val="auto"/>
          <w:sz w:val="16"/>
          <w:szCs w:val="16"/>
        </w:rPr>
      </w:pPr>
    </w:p>
    <w:p>
      <w:pPr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>目前，能源板块遥遥领先。截至周二收盘，能源板基金Energy Select Sector SPDR® Fund (NYSE:XLE）年内上涨了27.5%，基本上是第二大表现最好的领域金融行基金Financial Select Sector SPDR® Fund (NYSE:XLF) 还是整个市场SPDR® S&amp;P 500 (NYSE:SPY)）涨幅的两倍。今年以来，spy的涨幅为4.5%。</w:t>
      </w:r>
    </w:p>
    <w:p>
      <w:pPr>
        <w:rPr>
          <w:sz w:val="16"/>
          <w:szCs w:val="16"/>
        </w:rPr>
      </w:pPr>
      <w:r>
        <w:rPr>
          <w:sz w:val="16"/>
          <w:szCs w:val="16"/>
        </w:rPr>
        <w:drawing>
          <wp:inline distT="114300" distB="114300" distL="114300" distR="114300">
            <wp:extent cx="3415665" cy="2279015"/>
            <wp:effectExtent l="0" t="0" r="0" b="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 preferRelativeResize="0"/>
                  </pic:nvPicPr>
                  <pic:blipFill>
                    <a:blip r:embed="rId4"/>
                    <a:srcRect b="9613"/>
                    <a:stretch>
                      <a:fillRect/>
                    </a:stretch>
                  </pic:blipFill>
                  <pic:spPr>
                    <a:xfrm>
                      <a:off x="0" y="0"/>
                      <a:ext cx="3415787" cy="2279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hint="default" w:ascii="Arial" w:hAnsi="Arial" w:eastAsia="Arial Unicode MS" w:cs="Arial"/>
          <w:b w:val="0"/>
          <w:bCs w:val="0"/>
          <w:color w:val="auto"/>
          <w:sz w:val="16"/>
          <w:szCs w:val="16"/>
          <w:rtl w:val="0"/>
        </w:rPr>
        <w:t>能源股反弹的主要动力之一是对美国经济增长复苏的预期。但问题是，在市场消化了经济活动加速的预期后，实际经济数据是否会像预期的那样强劲？</w:t>
      </w:r>
    </w:p>
    <w:p>
      <w:pPr>
        <w:rPr>
          <w:rFonts w:hint="default"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hint="default" w:ascii="Arial" w:hAnsi="Arial" w:cs="Arial"/>
          <w:b w:val="0"/>
          <w:bCs w:val="0"/>
          <w:color w:val="auto"/>
          <w:sz w:val="16"/>
          <w:szCs w:val="16"/>
          <w:rtl w:val="0"/>
        </w:rPr>
        <w:t xml:space="preserve"> </w:t>
      </w:r>
    </w:p>
    <w:p>
      <w:pPr>
        <w:rPr>
          <w:rFonts w:hint="default"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hint="default" w:ascii="Arial" w:hAnsi="Arial" w:eastAsia="Arial Unicode MS" w:cs="Arial"/>
          <w:b w:val="0"/>
          <w:bCs w:val="0"/>
          <w:color w:val="auto"/>
          <w:sz w:val="16"/>
          <w:szCs w:val="16"/>
          <w:rtl w:val="0"/>
        </w:rPr>
        <w:t>最近的经济数据也很糟糕。衡量美国宏观趋势的两大指标出人意料地疲弱。首先，</w:t>
      </w:r>
      <w:r>
        <w:rPr>
          <w:rFonts w:hint="eastAsia" w:eastAsia="Arial Unicode MS" w:cs="Arial"/>
          <w:b w:val="0"/>
          <w:bCs w:val="0"/>
          <w:color w:val="auto"/>
          <w:sz w:val="16"/>
          <w:szCs w:val="16"/>
          <w:rtl w:val="0"/>
          <w:lang w:val="en-US" w:eastAsia="zh-CN"/>
        </w:rPr>
        <w:t>美</w:t>
      </w:r>
      <w:r>
        <w:rPr>
          <w:rFonts w:hint="default" w:ascii="Arial" w:hAnsi="Arial" w:eastAsia="Arial Unicode MS" w:cs="Arial"/>
          <w:b w:val="0"/>
          <w:bCs w:val="0"/>
          <w:color w:val="auto"/>
          <w:sz w:val="16"/>
          <w:szCs w:val="16"/>
          <w:rtl w:val="0"/>
        </w:rPr>
        <w:t>联储的</w:t>
      </w:r>
      <w:r>
        <w:rPr>
          <w:rFonts w:hint="eastAsia" w:eastAsia="Arial Unicode MS" w:cs="Arial"/>
          <w:b w:val="0"/>
          <w:bCs w:val="0"/>
          <w:color w:val="auto"/>
          <w:sz w:val="16"/>
          <w:szCs w:val="16"/>
          <w:rtl w:val="0"/>
          <w:lang w:val="en-US" w:eastAsia="zh-CN"/>
        </w:rPr>
        <w:t>ADS</w:t>
      </w:r>
      <w:r>
        <w:rPr>
          <w:rFonts w:hint="default" w:ascii="Arial" w:hAnsi="Arial" w:eastAsia="Arial Unicode MS" w:cs="Arial"/>
          <w:b w:val="0"/>
          <w:bCs w:val="0"/>
          <w:color w:val="auto"/>
          <w:sz w:val="16"/>
          <w:szCs w:val="16"/>
          <w:rtl w:val="0"/>
        </w:rPr>
        <w:t>商业周期指数反映了美国产出的萎缩。当然，指数短期内可能会出现波动，因此最新的弱势可能只是扰乱了数据，但仍能为市场下行预期提供数据支撑。</w:t>
      </w:r>
    </w:p>
    <w:p>
      <w:pPr>
        <w:rPr>
          <w:sz w:val="16"/>
          <w:szCs w:val="16"/>
        </w:rPr>
      </w:pPr>
      <w:r>
        <w:rPr>
          <w:color w:val="FF0000"/>
          <w:sz w:val="16"/>
          <w:szCs w:val="16"/>
        </w:rPr>
        <w:drawing>
          <wp:inline distT="114300" distB="114300" distL="114300" distR="114300">
            <wp:extent cx="3349625" cy="197485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 preferRelativeResize="0"/>
                  </pic:nvPicPr>
                  <pic:blipFill>
                    <a:blip r:embed="rId5"/>
                    <a:srcRect b="11649"/>
                    <a:stretch>
                      <a:fillRect/>
                    </a:stretch>
                  </pic:blipFill>
                  <pic:spPr>
                    <a:xfrm>
                      <a:off x="0" y="0"/>
                      <a:ext cx="3349647" cy="1975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color w:val="auto"/>
          <w:sz w:val="16"/>
          <w:szCs w:val="16"/>
        </w:rPr>
      </w:pPr>
      <w:r>
        <w:rPr>
          <w:rFonts w:ascii="Arial Unicode MS" w:hAnsi="Arial Unicode MS" w:eastAsia="Arial Unicode MS" w:cs="Arial Unicode MS"/>
          <w:color w:val="auto"/>
          <w:sz w:val="16"/>
          <w:szCs w:val="16"/>
          <w:rtl w:val="0"/>
        </w:rPr>
        <w:t>相比之下，芝加哥联储国家活动指数（CFNAI）的月度数据更可靠。本周更新的2月份数据显示，美国上月产量下降，这是疫情引发2020年4月经济衰退以来首次出现月度负增长。</w:t>
      </w:r>
    </w:p>
    <w:p>
      <w:pPr>
        <w:rPr>
          <w:sz w:val="16"/>
          <w:szCs w:val="16"/>
        </w:rPr>
      </w:pPr>
      <w:r>
        <w:rPr>
          <w:sz w:val="16"/>
          <w:szCs w:val="16"/>
        </w:rPr>
        <w:drawing>
          <wp:inline distT="114300" distB="114300" distL="114300" distR="114300">
            <wp:extent cx="3560445" cy="252857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 preferRelativeResize="0"/>
                  </pic:nvPicPr>
                  <pic:blipFill>
                    <a:blip r:embed="rId6"/>
                    <a:srcRect b="7142"/>
                    <a:stretch>
                      <a:fillRect/>
                    </a:stretch>
                  </pic:blipFill>
                  <pic:spPr>
                    <a:xfrm>
                      <a:off x="0" y="0"/>
                      <a:ext cx="3560528" cy="2528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color w:val="auto"/>
          <w:sz w:val="16"/>
          <w:szCs w:val="16"/>
        </w:rPr>
      </w:pPr>
      <w:r>
        <w:rPr>
          <w:rFonts w:ascii="Arial Unicode MS" w:hAnsi="Arial Unicode MS" w:eastAsia="Arial Unicode MS" w:cs="Arial Unicode MS"/>
          <w:color w:val="auto"/>
          <w:sz w:val="16"/>
          <w:szCs w:val="16"/>
          <w:rtl w:val="0"/>
        </w:rPr>
        <w:t>CFNAI数据也可能是噪音，因为疫情反弹而暂时下降。从乐观的角度来看，随着疫苗接种计划的推广，未来几个月经济活动将变得更加稳定，前景也将得到改善。从这个角度看，这些滞后的数据也会产生误导。</w:t>
      </w:r>
    </w:p>
    <w:p>
      <w:pPr>
        <w:rPr>
          <w:color w:val="auto"/>
          <w:sz w:val="16"/>
          <w:szCs w:val="16"/>
        </w:rPr>
      </w:pPr>
    </w:p>
    <w:p>
      <w:pPr>
        <w:rPr>
          <w:sz w:val="16"/>
          <w:szCs w:val="16"/>
        </w:rPr>
      </w:pPr>
      <w:r>
        <w:rPr>
          <w:rFonts w:ascii="Arial Unicode MS" w:hAnsi="Arial Unicode MS" w:eastAsia="Arial Unicode MS" w:cs="Arial Unicode MS"/>
          <w:color w:val="auto"/>
          <w:sz w:val="16"/>
          <w:szCs w:val="16"/>
          <w:rtl w:val="0"/>
        </w:rPr>
        <w:t>考虑到截至周二美国新增死亡人数的趋势，与前一段时间相比有了明显改善。美国10天平均死亡人数连续第二天低于一天1000例的重要阈值，这是4个月来两日内新死亡人数最低的一天。</w:t>
      </w:r>
    </w:p>
    <w:p>
      <w:pPr>
        <w:rPr>
          <w:sz w:val="16"/>
          <w:szCs w:val="16"/>
        </w:rPr>
      </w:pPr>
      <w:r>
        <w:rPr>
          <w:sz w:val="16"/>
          <w:szCs w:val="16"/>
        </w:rPr>
        <w:drawing>
          <wp:inline distT="114300" distB="114300" distL="114300" distR="114300">
            <wp:extent cx="3414395" cy="2406650"/>
            <wp:effectExtent l="0" t="0" r="0" b="0"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5.png"/>
                    <pic:cNvPicPr preferRelativeResize="0"/>
                  </pic:nvPicPr>
                  <pic:blipFill>
                    <a:blip r:embed="rId7"/>
                    <a:srcRect b="7675"/>
                    <a:stretch>
                      <a:fillRect/>
                    </a:stretch>
                  </pic:blipFill>
                  <pic:spPr>
                    <a:xfrm>
                      <a:off x="0" y="0"/>
                      <a:ext cx="3414713" cy="2407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16"/>
          <w:szCs w:val="16"/>
        </w:rPr>
      </w:pPr>
      <w:r>
        <w:rPr>
          <w:rFonts w:ascii="Arial Unicode MS" w:hAnsi="Arial Unicode MS" w:eastAsia="Arial Unicode MS" w:cs="Arial Unicode MS"/>
          <w:sz w:val="16"/>
          <w:szCs w:val="16"/>
          <w:rtl w:val="0"/>
        </w:rPr>
        <w:t>尽管近期商业周期指数疲软，但近期将于下月公布的第一季度GDP预测仍较为乐观，尽管与前几周相比有所下降。例如，亚特兰大联储</w:t>
      </w:r>
      <w:r>
        <w:rPr>
          <w:sz w:val="16"/>
          <w:szCs w:val="16"/>
          <w:rtl w:val="0"/>
        </w:rPr>
        <w:t>GDP</w:t>
      </w:r>
      <w:r>
        <w:rPr>
          <w:rFonts w:ascii="Arial Unicode MS" w:hAnsi="Arial Unicode MS" w:eastAsia="Arial Unicode MS" w:cs="Arial Unicode MS"/>
          <w:sz w:val="16"/>
          <w:szCs w:val="16"/>
          <w:rtl w:val="0"/>
        </w:rPr>
        <w:t>模型现在预计第一季度产出（实际年率）将强劲增长5.7%，高于第四季度的4.1%。</w:t>
      </w: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  <w:r>
        <w:rPr>
          <w:rFonts w:ascii="Arial Unicode MS" w:hAnsi="Arial Unicode MS" w:eastAsia="Arial Unicode MS" w:cs="Arial Unicode MS"/>
          <w:sz w:val="16"/>
          <w:szCs w:val="16"/>
          <w:rtl w:val="0"/>
        </w:rPr>
        <w:t>同时，其他落后产业也有一定的波动</w:t>
      </w:r>
      <w:bookmarkStart w:id="1" w:name="_GoBack"/>
      <w:bookmarkEnd w:id="1"/>
      <w:r>
        <w:rPr>
          <w:rFonts w:ascii="Arial Unicode MS" w:hAnsi="Arial Unicode MS" w:eastAsia="Arial Unicode MS" w:cs="Arial Unicode MS"/>
          <w:sz w:val="16"/>
          <w:szCs w:val="16"/>
          <w:rtl w:val="0"/>
        </w:rPr>
        <w:t>，说明有可能出现龙头板块转换。例如，今年以来表现最差的两个行业——公用事业（Utilities Select Sector SPDR® Fund (NYSE:XLU)）和必需消费品（Consumer Staples Select Sector SPDR® Fund (NYSE:XLP)）——3月取得最强劲回报，远超能源板块（Energy Select Sector SPDR® Fund (NYSE:XLE)和整个美股市场（SPDR® S&amp;P 500 (NYSE:SPY)）</w:t>
      </w:r>
    </w:p>
    <w:p>
      <w:pPr>
        <w:rPr>
          <w:sz w:val="16"/>
          <w:szCs w:val="16"/>
        </w:rPr>
      </w:pPr>
      <w:r>
        <w:rPr>
          <w:sz w:val="16"/>
          <w:szCs w:val="16"/>
        </w:rPr>
        <w:drawing>
          <wp:inline distT="114300" distB="114300" distL="114300" distR="114300">
            <wp:extent cx="3547745" cy="2404745"/>
            <wp:effectExtent l="0" t="0" r="0" b="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47894" cy="2405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16"/>
          <w:szCs w:val="16"/>
        </w:rPr>
      </w:pPr>
      <w:r>
        <w:rPr>
          <w:rFonts w:ascii="Arial Unicode MS" w:hAnsi="Arial Unicode MS" w:eastAsia="Arial Unicode MS" w:cs="Arial Unicode MS"/>
          <w:sz w:val="16"/>
          <w:szCs w:val="16"/>
          <w:rtl w:val="0"/>
        </w:rPr>
        <w:t>这是否意味着能源板块的领先地位得不保？ 而其他防御性板块则处于领先地位？但如果未来几周的经济数据低于预期，公用事业和基本消费品的市场需求可能会增加，能源部门将成为这一变化的受害者。</w:t>
      </w:r>
    </w:p>
    <w:p>
      <w:pPr>
        <w:rPr>
          <w:sz w:val="16"/>
          <w:szCs w:val="16"/>
        </w:rPr>
      </w:pPr>
      <w:r>
        <w:rPr>
          <w:sz w:val="16"/>
          <w:szCs w:val="16"/>
          <w:rtl w:val="0"/>
        </w:rPr>
        <w:t xml:space="preserve"> </w:t>
      </w:r>
    </w:p>
    <w:sectPr>
      <w:pgSz w:w="12240" w:h="15840"/>
      <w:pgMar w:top="180" w:right="1440" w:bottom="270" w:left="1440" w:header="720" w:footer="720" w:gutter="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1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documentProtection w:enforcement="0"/>
  <w:defaultTabStop w:val="720"/>
  <w:compat>
    <w:useFELayout/>
    <w:compatSetting w:name="compatibilityMode" w:uri="http://schemas.microsoft.com/office/word" w:val="15"/>
  </w:compat>
  <w:rsids>
    <w:rsidRoot w:val="00000000"/>
    <w:rsid w:val="50A630A6"/>
    <w:rsid w:val="6CBD68C0"/>
    <w:rsid w:val="6EA416F6"/>
    <w:rsid w:val="74AC43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Subtitle"/>
    <w:basedOn w:val="1"/>
    <w:next w:val="1"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9">
    <w:name w:val="Title"/>
    <w:basedOn w:val="1"/>
    <w:next w:val="1"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2">
    <w:name w:val="Table Normal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Office_11.1.0.9513_F1E327BC-269C-435d-A152-05C5408002CA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2021-03-26T02:25:00Z</dcterms:created>
  <dc:creator>frank</dc:creator>
  <cp:lastModifiedBy>frank</cp:lastModifiedBy>
  <dcterms:modified xsi:type="dcterms:W3CDTF">2021-03-26T21:22:19Z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