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leftChars="0" w:firstLine="42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通胀担忧会反转？谁将是下个热宠儿</w:t>
      </w:r>
    </w:p>
    <w:p>
      <w:r>
        <w:drawing>
          <wp:inline distT="0" distB="0" distL="114300" distR="114300">
            <wp:extent cx="5268595" cy="2994025"/>
            <wp:effectExtent l="0" t="0" r="825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D4845"/>
          <w:spacing w:val="0"/>
          <w:sz w:val="15"/>
          <w:szCs w:val="15"/>
          <w:shd w:val="clear" w:fill="C9D7F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845"/>
          <w:spacing w:val="0"/>
          <w:sz w:val="15"/>
          <w:szCs w:val="15"/>
          <w:shd w:val="clear" w:fill="FFF1E5"/>
        </w:rPr>
        <w:t>美国商务部于周五发布一月份的个人消费支出价格指数。本周初，德国发布了两套关键数据</w:t>
      </w:r>
      <w:r>
        <w:rPr>
          <w:rFonts w:hint="eastAsia" w:ascii="微软雅黑" w:hAnsi="微软雅黑" w:eastAsia="微软雅黑" w:cs="微软雅黑"/>
          <w:i w:val="0"/>
          <w:caps w:val="0"/>
          <w:color w:val="4D4845"/>
          <w:spacing w:val="0"/>
          <w:sz w:val="15"/>
          <w:szCs w:val="15"/>
          <w:shd w:val="clear" w:fill="C9D7F1"/>
        </w:rPr>
        <w:t>投资者还密切关注土耳其里拉飙升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随着12月疫苗利好、美国大选及纾困计划落地、</w:t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shd w:val="clear" w:fill="FFFFFF"/>
        </w:rPr>
        <w:instrText xml:space="preserve"> HYPERLINK "http://quote.eastmoney.com/unify/r/105.METX" \t "http://finance.eastmoney.com/a/_blank" </w:instrText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shd w:val="clear" w:fill="FFFFFF"/>
        </w:rPr>
        <w:t>美联</w:t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储维持</w:t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shd w:val="clear" w:fill="FFFFFF"/>
        </w:rPr>
        <w:instrText xml:space="preserve"> HYPERLINK "http://data.eastmoney.com/cjsj/hbgyl.html" \t "http://finance.eastmoney.com/a/_blank" </w:instrText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shd w:val="clear" w:fill="FFFFFF"/>
        </w:rPr>
        <w:t>货币</w:t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宽松，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通货膨胀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也将成为市场最重要的主题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对于票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投資者來説，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通货膨胀几乎是坏消息，会降低未来收益的价值。</w:t>
      </w:r>
    </w:p>
    <w:p>
      <w:pP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shd w:val="clear" w:fill="C9D7F1"/>
        </w:rPr>
      </w:pPr>
      <w:r>
        <w:rPr>
          <w:rFonts w:ascii="Arial" w:hAnsi="Arial" w:eastAsia="Arial" w:cs="Arial"/>
          <w:i w:val="0"/>
          <w:caps w:val="0"/>
          <w:color w:val="001E20"/>
          <w:spacing w:val="0"/>
          <w:sz w:val="24"/>
          <w:szCs w:val="24"/>
        </w:rPr>
        <w:t>投资者</w:t>
      </w:r>
      <w:r>
        <w:rPr>
          <w:rFonts w:hint="eastAsia" w:ascii="Arial" w:hAnsi="Arial" w:eastAsia="宋体" w:cs="Arial"/>
          <w:i w:val="0"/>
          <w:caps w:val="0"/>
          <w:color w:val="001E20"/>
          <w:spacing w:val="0"/>
          <w:sz w:val="24"/>
          <w:szCs w:val="24"/>
          <w:lang w:val="en-US" w:eastAsia="zh-CN"/>
        </w:rPr>
        <w:t>也</w:t>
      </w:r>
      <w:r>
        <w:rPr>
          <w:rFonts w:ascii="Arial" w:hAnsi="Arial" w:eastAsia="Arial" w:cs="Arial"/>
          <w:i w:val="0"/>
          <w:caps w:val="0"/>
          <w:color w:val="001E20"/>
          <w:spacing w:val="0"/>
          <w:sz w:val="24"/>
          <w:szCs w:val="24"/>
        </w:rPr>
        <w:t>一直在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instrText xml:space="preserve"> HYPERLINK "https://www.barrons.com/articles/tech-is-leading-the-market-down-a-10-pullback-seems-very-plausible-51613580515?mod=article_inline"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t>关注通胀上升的威胁。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shd w:val="clear" w:fill="C9D7F1"/>
        </w:rPr>
        <w:t>幸运的是，有一本剧本可以提高通货膨胀率。</w:t>
      </w:r>
    </w:p>
    <w:p>
      <w:pP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</w:rPr>
      </w:pPr>
      <w:r>
        <w:rPr>
          <w:rFonts w:ascii="Arial" w:hAnsi="Arial" w:eastAsia="Arial" w:cs="Arial"/>
          <w:i w:val="0"/>
          <w:caps w:val="0"/>
          <w:color w:val="001E20"/>
          <w:spacing w:val="0"/>
          <w:sz w:val="24"/>
          <w:szCs w:val="24"/>
        </w:rPr>
        <w:t>在过去几个月中，通货膨胀预期强劲上升。</w:t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</w:rPr>
        <w:t>根据圣路易斯联邦储备银行的数据，投资者目前预计未来10年的通货膨胀率将维持在2％以上。随着通货膨胀预期的提高，自9月23日以来10年期国债收益率已从0.67％升至1.37％，这是受益于经济增长的高风险资产反弹的开始。</w:t>
      </w:r>
    </w:p>
    <w:p>
      <w:pP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</w:rPr>
      </w:pPr>
    </w:p>
    <w:p>
      <w:pP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加上</w:t>
      </w:r>
      <w:r>
        <w:rPr>
          <w:rFonts w:ascii="宋体" w:hAnsi="宋体" w:eastAsia="宋体" w:cs="宋体"/>
          <w:sz w:val="24"/>
          <w:szCs w:val="24"/>
        </w:rPr>
        <w:t>拜登政府即将推出的1.9亿美元刺激计划以及美联储持续宽松货币政策的</w:t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</w:rPr>
        <w:t>以及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instrText xml:space="preserve"> HYPERLINK "https://www.barrons.com/articles/dow-jones-industrial-average-rose-but-the-market-strength-is-there-51612388573?mod=article_inline"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t>疫苗的推出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instrText xml:space="preserve"> HYPERLINK "https://www.barrons.com/articles/dow-jones-industrial-average-surged-big-stimulus-on-the-way-51612822321?mod=article_inline"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t>刺激经济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</w:rPr>
        <w:t>进一步开放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instrText xml:space="preserve"> HYPERLINK "https://www.barrons.com/articles/dow-jones-industrial-average-rose-but-the-market-strength-is-there-51612388573?mod=article_inline"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t>，这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</w:rPr>
        <w:t>推动了市场走势。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24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</w:rPr>
      </w:pP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</w:rPr>
        <w:t>不过，较高的通胀预期使股票投资者感到不安。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instrText xml:space="preserve"> HYPERLINK "https://www.barrons.com/articles/rising-rates-are-hurting-stocks-the-threat-isnt-going-away-51613675521?mod=article_inline"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t>长期国债的短暂飙升给股票估值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</w:rPr>
        <w:t>带来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instrText xml:space="preserve"> HYPERLINK "https://www.barrons.com/articles/rising-rates-are-hurting-stocks-the-threat-isnt-going-away-51613675521?mod=article_inline"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t>压力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</w:rPr>
        <w:t>。较高的无风险收益率使得股票吸引力下降。但是通货膨胀常常反映出强劲的经济需求，这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instrText xml:space="preserve"> HYPERLINK "https://www.barrons.com/articles/earnings-are-growing-again-what-it-means-for-investors-51612817803?mod=article_inline"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t>极大地促进了近期收益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24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</w:rPr>
      </w:pP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</w:rPr>
        <w:t>如果经济开始新的扩张，这些动力将有利于周期性的和对经济更敏感的股票。金融，能源和工业部门</w:t>
      </w:r>
      <w:r>
        <w:rPr>
          <w:rFonts w:hint="eastAsia" w:ascii="Arial" w:hAnsi="Arial" w:eastAsia="宋体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  <w:lang w:eastAsia="zh-CN"/>
        </w:rPr>
        <w:t>，</w:t>
      </w:r>
      <w:r>
        <w:rPr>
          <w:rFonts w:hint="eastAsia" w:ascii="Arial" w:hAnsi="Arial" w:eastAsia="宋体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  <w:lang w:val="en-US" w:eastAsia="zh-CN"/>
        </w:rPr>
        <w:t>大宗商品类</w:t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</w:rPr>
        <w:t>将受益最大。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24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股票方面，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亚洲市场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是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渣打最为看好的资产类别，渣打认为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尤其是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经济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复苏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疫苗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的普及等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，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将进一步推动股票市场百花齐放状态。但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渣打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还提出为来在未来一年随着经济复苏，公司盈利增加速度超过市场反弹，市盈率预计将会有所下降。</w:t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</w:rPr>
        <w:t>对于银行而言，当长期利率较高时，贷款将更有利可图。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24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</w:rPr>
      </w:pP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</w:rPr>
        <w:t>在扩张时期，对石油和其他能源的需求增加，这是因为制造商和消费者在此期间消费更多。工业企业通常会在扩张时期增加产量，以提供与企业和消费者支出相关的项目。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24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</w:pP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根据Evercore策略师的数据，当长期收益率上升时，金融部门的表现优于标准普尔500指数。能源行业是表现第二佳的行业，工业是第三佳的。与较高利率无关的部门是防御性部门，或那些收入和收入受经济需求影响较小的部门。例如，公用事业和消费必需品在通货膨胀时期表现不佳</w:t>
      </w:r>
      <w:r>
        <w:rPr>
          <w:rFonts w:hint="eastAsia" w:ascii="Arial" w:hAnsi="Arial" w:eastAsia="宋体" w:cs="Arial"/>
          <w:i w:val="0"/>
          <w:caps w:val="0"/>
          <w:color w:val="001E20"/>
          <w:spacing w:val="0"/>
          <w:sz w:val="24"/>
          <w:szCs w:val="24"/>
          <w:vertAlign w:val="baseline"/>
          <w:lang w:eastAsia="zh-CN"/>
        </w:rPr>
        <w:t>。</w:t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的确，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"https://www.barrons.com/quote/FUND/US/ARCX/KBE"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t>SPDR标普银行ETF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"https://www.barrons.com/quote/FUND/US/ARCX/KBE"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（代码：KBE）高达71％，因为9月23日，痛击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"https://www.barrons.com/quote/INDEX/US/S&amp;P US/SPX"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t>普500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的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"https://www.barrons.com/quote/INDEX/US/S&amp;P US/SPX"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增长21％。9月中旬标志着诸如股票之类的高风险资产开始新一轮反弹，通货膨胀预期上升。该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"https://www.barrons.com/quote/FUND/US/ARCX/XLE"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t>能源选择部门SPDR ETF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"https://www.barrons.com/quote/FUND/US/ARCX/XLE"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自那时以来，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"https://www.barrons.com/quote/FUND/US/ARCX/XLI"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t>工业精选板块SPDR ETF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（XLE）上涨了53％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"https://www.barrons.com/quote/FUND/US/ARCX/XLI"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（XLI）与更广泛的指数保持一致。工业基金前十大持股中的四个-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"https://www.barrons.com/quote/HON"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t>霍尼韦尔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"https://www.barrons.com/quote/HON"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（HON），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"https://www.barrons.com/quote/RTX"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t>雷神技术公司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"https://www.barrons.com/quote/RTX"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（RTX），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"https://www.barrons.com/quote/LMT"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t>洛克希德·马丁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"https://www.barrons.com/quote/LMT"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（LMT）和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"https://www.barrons.com/quote/MMM"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t>3M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"https://www.barrons.com/quote/MMM"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（MMM）-在航空，国防和医疗产品等防御性较高的领域有大量投资，这可能会对该基金的表现造成压力。但是高度周期性的工业股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"https://www.barrons.com/quote/BA"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t>波音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 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"https://www.barrons.com/quote/BA"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例如，自9月中旬以来（BA）击败标准普尔500指数几乎是后者的两倍。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24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</w:pP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分析师预计，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"https://www.barrons.com/articles/value-stocks-have-started-lagging-growth-why-the-trade-isnt-dead-51611576001?mod=article_inline"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t>到2022年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，所有这些行业的股票都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"https://www.barrons.com/articles/value-stocks-have-started-lagging-growth-why-the-trade-isnt-dead-51611576001?mod=article_inline"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t>将看到持续的盈利势头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。但据FactSet的数据，工业和能源类股的估值较标普500指数高出许多。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instrText xml:space="preserve"> HYPERLINK "https://www.barrons.com/articles/small-cap-stocks-wont-stop-going-up-their-run-might-be-justified-51613133000?mod=article_inline" \t "https://www.barrons.com/articles/_blank" </w:instrTex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t>较小的资本价值股票不能以如此高的估值交易，</w:t>
      </w:r>
      <w:r>
        <w:rPr>
          <w:rFonts w:hint="default" w:ascii="Arial" w:hAnsi="Arial" w:eastAsia="Arial" w:cs="Arial"/>
          <w:i w:val="0"/>
          <w:caps w:val="0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vertAlign w:val="baseline"/>
        </w:rPr>
        <w:t>可能是玩通货膨胀贸易的更好方法。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default" w:ascii="宋体" w:hAnsi="宋体" w:eastAsia="宋体" w:cs="宋体"/>
          <w:i w:val="0"/>
          <w:caps w:val="0"/>
          <w:color w:val="5B9BD5" w:themeColor="accent1"/>
          <w:spacing w:val="0"/>
          <w:sz w:val="21"/>
          <w:szCs w:val="21"/>
          <w:bdr w:val="none" w:color="auto" w:sz="0" w:space="0"/>
          <w:shd w:val="clear" w:fill="FFFFFF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>在</w:t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instrText xml:space="preserve"> HYPERLINK "http://baike.eastmoney.com/item/%E5%A4%96%E6%B1%87" \t "http://finance.eastmoney.com/a/_blank" </w:instrText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t>外汇</w:t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方面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美联储政策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可能会转向平均通货膨胀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，美元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可能会继续下跌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由于疫情和中美贸易， 美国贸易赤字可能会导致美国资金外流，</w:t>
      </w:r>
      <w:r>
        <w:rPr>
          <w:rFonts w:hint="eastAsia" w:ascii="宋体" w:hAnsi="宋体" w:eastAsia="宋体" w:cs="宋体"/>
          <w:i w:val="0"/>
          <w:caps w:val="0"/>
          <w:color w:val="5B9BD5" w:themeColor="accen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t>在</w:t>
      </w:r>
      <w:r>
        <w:rPr>
          <w:rFonts w:hint="eastAsia" w:ascii="宋体" w:hAnsi="宋体" w:eastAsia="宋体" w:cs="宋体"/>
          <w:i w:val="0"/>
          <w:caps w:val="0"/>
          <w:color w:val="5B9BD5" w:themeColor="accent1"/>
          <w:spacing w:val="0"/>
          <w:sz w:val="21"/>
          <w:szCs w:val="21"/>
          <w:bdr w:val="none" w:color="auto" w:sz="0" w:space="0"/>
          <w:shd w:val="clear" w:fill="FFFFFF"/>
          <w:lang w:val="en-US" w:eastAsia="zh-CN"/>
          <w14:textFill>
            <w14:solidFill>
              <w14:schemeClr w14:val="accent1"/>
            </w14:solidFill>
          </w14:textFill>
        </w:rPr>
        <w:t>美元疲软的情况下，，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5B9BD5" w:themeColor="accent1"/>
          <w:spacing w:val="0"/>
          <w:sz w:val="2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5B9BD5" w:themeColor="accent1"/>
          <w:spacing w:val="0"/>
          <w:sz w:val="21"/>
          <w:szCs w:val="21"/>
          <w:bdr w:val="none" w:color="auto" w:sz="0" w:space="0"/>
          <w:shd w:val="clear" w:fill="FFFFFF"/>
          <w:lang w:val="en-US" w:eastAsia="zh-CN"/>
          <w14:textFill>
            <w14:solidFill>
              <w14:schemeClr w14:val="accent1"/>
            </w14:solidFill>
          </w14:textFill>
        </w:rPr>
        <w:t>美元</w:t>
      </w:r>
      <w:r>
        <w:rPr>
          <w:rFonts w:hint="eastAsia" w:ascii="宋体" w:hAnsi="宋体" w:eastAsia="宋体" w:cs="宋体"/>
          <w:i w:val="0"/>
          <w:caps w:val="0"/>
          <w:color w:val="5B9BD5" w:themeColor="accen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t>的环境下，渣打预计欧元、英镑、澳元和</w:t>
      </w:r>
      <w:r>
        <w:rPr>
          <w:rFonts w:hint="eastAsia" w:ascii="宋体" w:hAnsi="宋体" w:eastAsia="宋体" w:cs="宋体"/>
          <w:i w:val="0"/>
          <w:caps w:val="0"/>
          <w:color w:val="5B9BD5" w:themeColor="accent1"/>
          <w:spacing w:val="0"/>
          <w:sz w:val="21"/>
          <w:szCs w:val="21"/>
          <w:u w:val="single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B9BD5" w:themeColor="accent1"/>
          <w:spacing w:val="0"/>
          <w:sz w:val="21"/>
          <w:szCs w:val="21"/>
          <w:u w:val="single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instrText xml:space="preserve"> HYPERLINK "http://baike.eastmoney.com/item/%E4%BA%BA%E6%B0%91%E5%B8%81" \t "http://finance.eastmoney.com/a/_blank" </w:instrText>
      </w:r>
      <w:r>
        <w:rPr>
          <w:rFonts w:hint="eastAsia" w:ascii="宋体" w:hAnsi="宋体" w:eastAsia="宋体" w:cs="宋体"/>
          <w:i w:val="0"/>
          <w:caps w:val="0"/>
          <w:color w:val="5B9BD5" w:themeColor="accent1"/>
          <w:spacing w:val="0"/>
          <w:sz w:val="21"/>
          <w:szCs w:val="21"/>
          <w:u w:val="single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5B9BD5" w:themeColor="accent1"/>
          <w:spacing w:val="0"/>
          <w:sz w:val="21"/>
          <w:szCs w:val="21"/>
          <w:u w:val="single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t>人民币</w:t>
      </w:r>
      <w:r>
        <w:rPr>
          <w:rFonts w:hint="eastAsia" w:ascii="宋体" w:hAnsi="宋体" w:eastAsia="宋体" w:cs="宋体"/>
          <w:i w:val="0"/>
          <w:caps w:val="0"/>
          <w:color w:val="5B9BD5" w:themeColor="accent1"/>
          <w:spacing w:val="0"/>
          <w:sz w:val="21"/>
          <w:szCs w:val="21"/>
          <w:u w:val="single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B9BD5" w:themeColor="accen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accent1"/>
            </w14:solidFill>
          </w14:textFill>
        </w:rPr>
        <w:t>将成为主要受益者。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Style w:val="7"/>
          <w:rFonts w:hint="default" w:ascii="宋体" w:hAnsi="宋体" w:eastAsia="宋体" w:cs="宋体"/>
          <w:b/>
          <w:i w:val="0"/>
          <w:caps w:val="0"/>
          <w:color w:val="043396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>在大宗商品方面，近期强劲涨势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begin"/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instrText xml:space="preserve"> HYPERLINK "http://baike.eastmoney.com/item/%E5%A4%A7%E5%AE%97%E5%95%86%E5%93%81" \t "http://finance.eastmoney.com/a/_blank" </w:instrTex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t>大宗商品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end"/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>可能会是未来最佳选的择之一。一方面大宗商品的超级周期若隐若现，促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43396"/>
          <w:spacing w:val="0"/>
          <w:sz w:val="21"/>
          <w:szCs w:val="21"/>
          <w:u w:val="single"/>
          <w:shd w:val="clear" w:fill="FFFFFF"/>
          <w:lang w:val="en-US" w:eastAsia="zh-CN"/>
        </w:rPr>
        <w:t>发条件已具备。 摩根大通和高盛都纷纷表示极其看好即将来到的商品周期。另一方面，拜登当局倡导大型基建，全球关注碳中和。对于各种金属和基础材料的需求会巨幅增加。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instrText xml:space="preserve"> HYPERLINK "http://quote.eastmoney.com/unify/r/106.GS" \t "http://finance.eastmoney.com/a/_blank" </w:instrText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t>高盛</w:t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预计，新一轮商品牛市将与2000年代商品牛和1970年代的</w:t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instrText xml:space="preserve"> HYPERLINK "http://data.eastmoney.com/cjsj/yjtz/default.html" \t "http://finance.eastmoney.com/a/_blank" </w:instrText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t>油价</w:t>
      </w:r>
      <w:r>
        <w:rPr>
          <w:rFonts w:hint="eastAsia" w:ascii="宋体" w:hAnsi="宋体" w:eastAsia="宋体" w:cs="宋体"/>
          <w:i w:val="0"/>
          <w:caps w:val="0"/>
          <w:color w:val="043396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飙升相抗衡。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一些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著名投资者也纷纷看多大宗商品价格。Gresham 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Investment Management LLC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高级研究策略师Robert Howell表示，基本面已经为新的结构性牛市做好准备。未来几年中，可能会有很多投资者回顾2020年，想知道他们如何错过了新的商品牛市迹象。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24" w:lineRule="atLeast"/>
        <w:ind w:left="0" w:right="0" w:firstLine="0"/>
        <w:textAlignment w:val="baseline"/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</w:rPr>
      </w:pPr>
    </w:p>
    <w:p>
      <w:pP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</w:rPr>
      </w:pPr>
      <w: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  <w:bdr w:val="none" w:color="auto" w:sz="0" w:space="0"/>
          <w:vertAlign w:val="baseline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</w:rPr>
      </w:pPr>
    </w:p>
    <w:p>
      <w:pPr>
        <w:rPr>
          <w:rFonts w:hint="default" w:ascii="Arial" w:hAnsi="Arial" w:eastAsia="Arial" w:cs="Arial"/>
          <w:i w:val="0"/>
          <w:caps w:val="0"/>
          <w:color w:val="001E20"/>
          <w:spacing w:val="0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271770" cy="3736975"/>
            <wp:effectExtent l="0" t="0" r="508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sans-serif" w:hAnsi="sans-serif" w:eastAsia="sans-serif" w:cs="sans-serif"/>
          <w:i w:val="0"/>
          <w:caps w:val="0"/>
          <w:color w:val="4D4845"/>
          <w:spacing w:val="0"/>
          <w:sz w:val="21"/>
          <w:szCs w:val="21"/>
          <w:shd w:val="clear" w:fill="C9D7F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2586C"/>
    <w:rsid w:val="65A2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2021-02-22T18:42:00Z</dcterms:created>
  <dc:creator>frank</dc:creator>
  <cp:lastModifiedBy>frank</cp:lastModifiedBy>
  <dcterms:modified xsi:type="dcterms:W3CDTF">2021-02-22T20:48:40Z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