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60" w:leftChars="0" w:firstLine="420" w:firstLineChars="0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通胀担忧会反转？谁将是下个热宠儿</w:t>
      </w:r>
    </w:p>
    <w:p>
      <w:r>
        <w:drawing>
          <wp:inline distT="0" distB="0" distL="114300" distR="114300">
            <wp:extent cx="5159375" cy="2853055"/>
            <wp:effectExtent l="0" t="0" r="317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169" t="2651" r="904" b="2057"/>
                    <a:stretch>
                      <a:fillRect/>
                    </a:stretch>
                  </pic:blipFill>
                  <pic:spPr>
                    <a:xfrm>
                      <a:off x="0" y="0"/>
                      <a:ext cx="515937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  <w:lang w:val="en-US" w:eastAsia="zh-CN"/>
        </w:rPr>
        <w:t>美国商务部于周五发布一月份的个人消费支出价格指数。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随着12月疫苗利好、美国大选及纾困计划落地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"http://quote.eastmoney.com/unify/r/105.METX" \t "http://finance.eastmoney.com/a/_blank"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美联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储维持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"http://data.eastmoney.com/cjsj/hbgyl.html" \t "http://finance.eastmoney.com/a/_blank"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货币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宽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松，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通货膨胀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也将成为市场最重要的主题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对于票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投資者來説，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通货膨胀几乎是坏消息，会降低未来收益的价值。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  <w:t>投资者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lang w:val="en-US" w:eastAsia="zh-CN"/>
        </w:rPr>
        <w:t>也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  <w:t>一直在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"https://www.barrons.com/articles/tech-is-leading-the-market-down-a-10-pullback-seems-very-plausible-51613580515?mod=article_inline"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t>关注通胀上升的威胁。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  <w:t>在过去几个月中，通货膨胀预期强劲上升。根据圣路易斯联邦储备银行的数据，投资者目前预计未来10年的通货膨胀率将维持在2％以上。随着通货膨胀预期的提高，自9月23日以来10年期国债收益率已从0.67％升至1.37％，这是受益于经济增长的高风险资产反弹的开始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加上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拜登政府即将推出的1.9亿美元刺激计划以及美联储持续宽松货币政策的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  <w:t>以及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"https://www.barrons.com/articles/dow-jones-industrial-average-rose-but-the-market-strength-is-there-51612388573?mod=article_inline"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t>疫苗的推出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"https://www.barrons.com/articles/dow-jones-industrial-average-surged-big-stimulus-on-the-way-51612822321?mod=article_inline"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t>刺激经济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  <w:t>进一步开放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"https://www.barrons.com/articles/dow-jones-industrial-average-rose-but-the-market-strength-is-there-51612388573?mod=article_inline"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t>，这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  <w:t>推动了市场走势。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24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  <w:t>不过，较高的通胀预期使股票投资者感到不安。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"https://www.barrons.com/articles/rising-rates-are-hurting-stocks-the-threat-isnt-going-away-51613675521?mod=article_inline"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t>长期国债的短暂飙升给股票估值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  <w:t>带来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"https://www.barrons.com/articles/rising-rates-are-hurting-stocks-the-threat-isnt-going-away-51613675521?mod=article_inline"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t>压力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  <w:t>。较高的无风险收益率使得股票吸引力下降。但是通货膨胀常常反映出强劲的经济需求，这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"https://www.barrons.com/articles/earnings-are-growing-again-what-it-means-for-investors-51612817803?mod=article_inline"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t>极大地促进了近期收益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24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  <w:t>如果经济开始新的扩张，这些动力将有利于周期性的和对经济更敏感的股票。金融，能源和工业部门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  <w:lang w:val="en-US" w:eastAsia="zh-CN"/>
        </w:rPr>
        <w:t>大宗商品类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  <w:t>将受益最大。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24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</w:pPr>
      <w:r>
        <w:rPr>
          <w:rStyle w:val="7"/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股票方面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，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亚洲市场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是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渣打最为看好的资产类别，渣打认为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尤其是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经济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复苏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疫苗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的普及等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，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将进一步推动股票市场百花齐放状态。但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渣打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还提出为来在未来一年随着经济复苏，公司盈利增加速度超过市场反弹，市盈率预计将会有所下降。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vertAlign w:val="baseline"/>
        </w:rPr>
        <w:t>对于银行而言，当长期利率较高时，贷款将更有利可图。在扩张时期，对石油和其他能源的需求增加，这是因为制造商和消费者在此期间消费更多。工业企业通常会在扩张时期增加产量，以提供与企业和消费者支出相关的项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24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根据Evercore策略师的数据，当长期收益率上升时，金融部门的表现优于标准普尔500指数。能源行业是表现第二佳的行业，工业是第三佳的。与较高利率无关的部门是防御性部门，或那些收入和收入受经济需求影响较小的部门。例如，公用事业和消费必需品在通货膨胀时期表现不佳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的确，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"https://www.barrons.com/quote/FUND/US/ARCX/KBE"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t>SPDR标普银行ETF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"https://www.barrons.com/quote/FUND/US/ARCX/KBE"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（代码：KBE）高达71％，因为9月23日，痛击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"https://www.barrons.com/quote/INDEX/US/S&amp;P US/SPX"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t>普500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的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"https://www.barrons.com/quote/INDEX/US/S&amp;P US/SPX"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增长21％。9月中旬标志着诸如股票之类的高风险资产开始新一轮反弹，通货膨胀预期上升。该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"https://www.barrons.com/quote/FUND/US/ARCX/XLE"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t>能源选择部门SPDR ETF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"https://www.barrons.com/quote/FUND/US/ARCX/XLE"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自那时以来，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"https://www.barrons.com/quote/FUND/US/ARCX/XLI"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t>工业精选板块SPDR ETF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（XLE）上涨了53％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"https://www.barrons.com/quote/FUND/US/ARCX/XLI"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（XLI）与更广泛的指数保持一致。工业基金前十大持股中的四个-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"https://www.barrons.com/quote/HON"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t>霍尼韦尔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"https://www.barrons.com/quote/HON"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（HON），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"https://www.barrons.com/quote/RTX"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t>雷神技术公司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"https://www.barrons.com/quote/RTX"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（RTX），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"https://www.barrons.com/quote/LMT"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t>洛克希德·马丁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"https://www.barrons.com/quote/LMT"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（LMT）和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"https://www.barrons.com/quote/MMM"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t>3M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"https://www.barrons.com/quote/MMM"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（MMM）-在航空，国防和医疗产品等防御性较高的领域有大量投资，这可能会对该基金的表现造成压力。但是高度周期性的工业股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"https://www.barrons.com/quote/BA"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t>波音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instrText xml:space="preserve"> HYPERLINK "https://www.barrons.com/quote/BA" \t "https://www.barrons.com/articles/_blank"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</w:rPr>
        <w:t>例如，自9月中旬以来（BA）击败标准普尔500指数几乎是后者的两倍。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5B9BD5" w:themeColor="accent1"/>
          <w:spacing w:val="0"/>
          <w:sz w:val="2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"http://baike.eastmoney.com/item/%E5%A4%96%E6%B1%87" \t "http://finance.eastmoney.com/a/_blank"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t>外汇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方面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美联储政策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可能会转向平均通货膨胀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，美元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可能会继续下跌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由于疫情和中美贸易， 美国贸易赤字可能会导致美国资金外流，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5B9BD5" w:themeColor="accen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accent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5B9BD5" w:themeColor="accent1"/>
          <w:spacing w:val="0"/>
          <w:sz w:val="21"/>
          <w:szCs w:val="21"/>
          <w:bdr w:val="none" w:color="auto" w:sz="0" w:space="0"/>
          <w:shd w:val="clear" w:fill="FFFFFF"/>
          <w:lang w:val="en-US" w:eastAsia="zh-CN"/>
          <w14:textFill>
            <w14:solidFill>
              <w14:schemeClr w14:val="accent1"/>
            </w14:solidFill>
          </w14:textFill>
        </w:rPr>
        <w:t>美元疲软的情况下，美元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5B9BD5" w:themeColor="accen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accent1"/>
            </w14:solidFill>
          </w14:textFill>
        </w:rPr>
        <w:t>的环境下，渣打预计欧元、英镑、澳元和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5B9BD5" w:themeColor="accent1"/>
          <w:spacing w:val="0"/>
          <w:sz w:val="21"/>
          <w:szCs w:val="21"/>
          <w:u w:val="single"/>
          <w:bdr w:val="none" w:color="auto" w:sz="0" w:space="0"/>
          <w:shd w:val="clear" w:fill="FFFFFF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5B9BD5" w:themeColor="accent1"/>
          <w:spacing w:val="0"/>
          <w:sz w:val="21"/>
          <w:szCs w:val="21"/>
          <w:u w:val="single"/>
          <w:bdr w:val="none" w:color="auto" w:sz="0" w:space="0"/>
          <w:shd w:val="clear" w:fill="FFFFFF"/>
          <w14:textFill>
            <w14:solidFill>
              <w14:schemeClr w14:val="accent1"/>
            </w14:solidFill>
          </w14:textFill>
        </w:rPr>
        <w:instrText xml:space="preserve"> HYPERLINK "http://baike.eastmoney.com/item/%E4%BA%BA%E6%B0%91%E5%B8%81" \t "http://finance.eastmoney.com/a/_blank"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5B9BD5" w:themeColor="accent1"/>
          <w:spacing w:val="0"/>
          <w:sz w:val="21"/>
          <w:szCs w:val="21"/>
          <w:u w:val="single"/>
          <w:bdr w:val="none" w:color="auto" w:sz="0" w:space="0"/>
          <w:shd w:val="clear" w:fill="FFFFFF"/>
          <w14:textFill>
            <w14:solidFill>
              <w14:schemeClr w14:val="accent1"/>
            </w14:solidFill>
          </w14:textFill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5B9BD5" w:themeColor="accent1"/>
          <w:spacing w:val="0"/>
          <w:sz w:val="21"/>
          <w:szCs w:val="21"/>
          <w:u w:val="single"/>
          <w:bdr w:val="none" w:color="auto" w:sz="0" w:space="0"/>
          <w:shd w:val="clear" w:fill="FFFFFF"/>
          <w14:textFill>
            <w14:solidFill>
              <w14:schemeClr w14:val="accent1"/>
            </w14:solidFill>
          </w14:textFill>
        </w:rPr>
        <w:t>人民币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5B9BD5" w:themeColor="accent1"/>
          <w:spacing w:val="0"/>
          <w:sz w:val="21"/>
          <w:szCs w:val="21"/>
          <w:u w:val="single"/>
          <w:bdr w:val="none" w:color="auto" w:sz="0" w:space="0"/>
          <w:shd w:val="clear" w:fill="FFFFFF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5B9BD5" w:themeColor="accen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accent1"/>
            </w14:solidFill>
          </w14:textFill>
        </w:rPr>
        <w:t>将成为主要受益者。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</w:pPr>
      <w:bookmarkStart w:id="0" w:name="_GoBack"/>
      <w:r>
        <w:rPr>
          <w:rStyle w:val="7"/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  <w:lang w:val="en-US" w:eastAsia="zh-CN"/>
        </w:rPr>
        <w:t>大宗商品方面</w:t>
      </w:r>
      <w:bookmarkEnd w:id="0"/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  <w:lang w:val="en-US" w:eastAsia="zh-CN"/>
        </w:rPr>
        <w:t>，近期强劲涨势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"http://baike.eastmoney.com/item/%E5%A4%A7%E5%AE%97%E5%95%86%E5%93%81" \t "http://finance.eastmoney.com/a/_blank" </w:instrText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t>大宗商品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  <w:lang w:val="en-US" w:eastAsia="zh-CN"/>
        </w:rPr>
        <w:t>可能会是未来最佳选的择之一。一方面大宗商品的超级周期若隐若现，促</w:t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发条件已具备。 摩根大通和高盛都纷纷表示极其看好即将来到的商品周期。另一方面，拜登当局倡导大型基建，全球关注碳中和。对于各种金属和基础材料的需求会巨幅增加。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5B9BD5" w:themeColor="accent1"/>
          <w:spacing w:val="0"/>
          <w:sz w:val="2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"http://quote.eastmoney.com/unify/r/106.GS" \t "http://finance.eastmoney.com/a/_blank"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t>高盛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t>预计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，新一轮商品牛市将与2000年代商品牛和1970年代的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"http://data.eastmoney.com/cjsj/yjtz/default.html" \t "http://finance.eastmoney.com/a/_blank"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t>油价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t>飙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升相抗衡。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一些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著名投资者也纷纷看多大宗商品价格。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5B9BD5" w:themeColor="accen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accent1"/>
            </w14:solidFill>
          </w14:textFill>
        </w:rPr>
        <w:t>Gresham Investment Management LLC高级研究策略师Robert Howell表示，基本面已经为新的结构性牛市做好准备。未来几年中，可能会有很多投资者回顾2020年，想知道他们如何错过了新的商品牛市迹象。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C9D7F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2586C"/>
    <w:rsid w:val="0C24479E"/>
    <w:rsid w:val="42EA2D33"/>
    <w:rsid w:val="65A2586C"/>
    <w:rsid w:val="7BE9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1393</Words>
  <Characters>1498</Characters>
  <Lines>0</Lines>
  <Paragraphs>0</Paragraphs>
  <TotalTime>10</TotalTime>
  <ScaleCrop>false</ScaleCrop>
  <LinksUpToDate>false</LinksUpToDate>
  <CharactersWithSpaces>1524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2021-02-22T18:42:00Z</dcterms:created>
  <dc:creator>frank</dc:creator>
  <cp:lastModifiedBy>frank</cp:lastModifiedBy>
  <dcterms:modified xsi:type="dcterms:W3CDTF">2021-02-22T21:00:40Z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