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cs="Arial"/>
          <w:b/>
          <w:sz w:val="28"/>
          <w:szCs w:val="28"/>
        </w:rPr>
      </w:pPr>
      <w:r>
        <w:rPr>
          <w:rFonts w:ascii="Arial" w:hAnsi="Arial" w:cs="Arial"/>
          <w:b/>
          <w:sz w:val="28"/>
          <w:szCs w:val="28"/>
        </w:rPr>
        <w:t>Global Blood Therapeutics (GBT)</w:t>
      </w:r>
    </w:p>
    <w:p>
      <w:pPr>
        <w:rPr>
          <w:rFonts w:ascii="Arial" w:hAnsi="Arial" w:cs="Arial"/>
          <w:b/>
          <w:sz w:val="28"/>
          <w:szCs w:val="28"/>
        </w:rPr>
      </w:pPr>
      <w:r>
        <w:rPr>
          <w:rFonts w:ascii="Times" w:hAnsi="Times"/>
        </w:rPr>
        <w:t>MARKET DATA</w:t>
      </w:r>
    </w:p>
    <w:tbl>
      <w:tblPr>
        <w:tblStyle w:val="5"/>
        <w:tblpPr w:leftFromText="180" w:rightFromText="180" w:vertAnchor="page" w:horzAnchor="margin" w:tblpY="2704"/>
        <w:tblOverlap w:val="never"/>
        <w:tblW w:w="5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2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2396" w:type="dxa"/>
          </w:tcPr>
          <w:p>
            <w:pPr>
              <w:spacing w:after="0" w:line="240" w:lineRule="auto"/>
              <w:rPr>
                <w:rFonts w:ascii="Arial" w:hAnsi="Arial" w:cs="Arial"/>
              </w:rPr>
            </w:pPr>
            <w:r>
              <w:rPr>
                <w:rFonts w:ascii="Arial" w:hAnsi="Arial" w:cs="Arial"/>
              </w:rPr>
              <w:t>Rating</w:t>
            </w:r>
          </w:p>
        </w:tc>
        <w:tc>
          <w:tcPr>
            <w:tcW w:w="2728" w:type="dxa"/>
          </w:tcPr>
          <w:p>
            <w:pPr>
              <w:spacing w:after="0" w:line="240" w:lineRule="auto"/>
              <w:jc w:val="right"/>
              <w:rPr>
                <w:rFonts w:ascii="Arial" w:hAnsi="Arial" w:cs="Arial"/>
                <w:b/>
              </w:rPr>
            </w:pPr>
            <w:r>
              <w:rPr>
                <w:rFonts w:ascii="Arial" w:hAnsi="Arial" w:cs="Arial"/>
                <w:b/>
              </w:rPr>
              <w:t>BUY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2396" w:type="dxa"/>
          </w:tcPr>
          <w:p>
            <w:pPr>
              <w:spacing w:after="0" w:line="240" w:lineRule="auto"/>
              <w:rPr>
                <w:rFonts w:ascii="Arial" w:hAnsi="Arial" w:cs="Arial"/>
              </w:rPr>
            </w:pPr>
            <w:r>
              <w:rPr>
                <w:rFonts w:ascii="Arial" w:hAnsi="Arial" w:cs="Arial"/>
              </w:rPr>
              <w:t>Price (</w:t>
            </w:r>
            <w:r>
              <w:rPr>
                <w:rFonts w:hint="eastAsia" w:ascii="Arial" w:hAnsi="Arial" w:eastAsia="宋体" w:cs="Arial"/>
                <w:lang w:eastAsia="zh-CN"/>
              </w:rPr>
              <w:t>8</w:t>
            </w:r>
            <w:r>
              <w:rPr>
                <w:rFonts w:ascii="Arial" w:hAnsi="Arial" w:cs="Arial"/>
              </w:rPr>
              <w:t>/</w:t>
            </w:r>
            <w:r>
              <w:rPr>
                <w:rFonts w:hint="eastAsia" w:ascii="Arial" w:hAnsi="Arial" w:eastAsia="宋体" w:cs="Arial"/>
                <w:lang w:eastAsia="zh-CN"/>
              </w:rPr>
              <w:t>11</w:t>
            </w:r>
            <w:r>
              <w:rPr>
                <w:rFonts w:ascii="Arial" w:hAnsi="Arial" w:cs="Arial"/>
              </w:rPr>
              <w:t>/201</w:t>
            </w:r>
            <w:r>
              <w:rPr>
                <w:rFonts w:hint="eastAsia" w:ascii="Arial" w:hAnsi="Arial" w:eastAsia="宋体" w:cs="Arial"/>
                <w:lang w:eastAsia="zh-CN"/>
              </w:rPr>
              <w:t>9</w:t>
            </w:r>
            <w:r>
              <w:rPr>
                <w:rFonts w:ascii="Arial" w:hAnsi="Arial" w:cs="Arial"/>
              </w:rPr>
              <w:t>)</w:t>
            </w:r>
          </w:p>
        </w:tc>
        <w:tc>
          <w:tcPr>
            <w:tcW w:w="2728" w:type="dxa"/>
          </w:tcPr>
          <w:p>
            <w:pPr>
              <w:spacing w:after="0" w:line="240" w:lineRule="auto"/>
              <w:jc w:val="right"/>
              <w:rPr>
                <w:rFonts w:ascii="Arial" w:hAnsi="Arial" w:eastAsia="宋体" w:cs="Arial"/>
                <w:lang w:eastAsia="zh-CN"/>
              </w:rPr>
            </w:pPr>
            <w:r>
              <w:rPr>
                <w:rFonts w:hint="eastAsia" w:ascii="Arial" w:hAnsi="Arial" w:eastAsia="宋体" w:cs="Arial"/>
                <w:lang w:eastAsia="zh-CN"/>
              </w:rPr>
              <w:t>48.79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2396" w:type="dxa"/>
          </w:tcPr>
          <w:p>
            <w:pPr>
              <w:spacing w:after="0" w:line="240" w:lineRule="auto"/>
              <w:rPr>
                <w:rFonts w:ascii="Arial" w:hAnsi="Arial" w:eastAsia="宋体" w:cs="Arial"/>
                <w:lang w:eastAsia="zh-CN"/>
              </w:rPr>
            </w:pPr>
            <w:r>
              <w:rPr>
                <w:rFonts w:ascii="Arial" w:hAnsi="Arial" w:cs="Arial"/>
              </w:rPr>
              <w:t>Target Price</w:t>
            </w:r>
            <w:r>
              <w:rPr>
                <w:rFonts w:hint="eastAsia" w:ascii="Arial" w:hAnsi="Arial" w:eastAsia="宋体" w:cs="Arial"/>
                <w:lang w:eastAsia="zh-CN"/>
              </w:rPr>
              <w:t xml:space="preserve"> Range</w:t>
            </w:r>
          </w:p>
        </w:tc>
        <w:tc>
          <w:tcPr>
            <w:tcW w:w="2728" w:type="dxa"/>
          </w:tcPr>
          <w:p>
            <w:pPr>
              <w:spacing w:after="0" w:line="240" w:lineRule="auto"/>
              <w:jc w:val="right"/>
              <w:rPr>
                <w:rFonts w:ascii="Arial" w:hAnsi="Arial" w:cs="Arial"/>
              </w:rPr>
            </w:pPr>
            <w:r>
              <w:rPr>
                <w:rFonts w:hint="eastAsia" w:ascii="Arial" w:hAnsi="Arial" w:eastAsia="宋体" w:cs="Arial"/>
                <w:lang w:eastAsia="zh-CN"/>
              </w:rPr>
              <w:t>75-</w:t>
            </w:r>
            <w:r>
              <w:rPr>
                <w:rFonts w:ascii="Arial" w:hAnsi="Arial" w:cs="Arial"/>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2396" w:type="dxa"/>
          </w:tcPr>
          <w:p>
            <w:pPr>
              <w:spacing w:after="0" w:line="240" w:lineRule="auto"/>
              <w:rPr>
                <w:rFonts w:ascii="Arial" w:hAnsi="Arial" w:cs="Arial"/>
              </w:rPr>
            </w:pPr>
            <w:r>
              <w:rPr>
                <w:rFonts w:ascii="Arial" w:hAnsi="Arial" w:cs="Arial"/>
              </w:rPr>
              <w:t>52-Week Price Range</w:t>
            </w:r>
          </w:p>
        </w:tc>
        <w:tc>
          <w:tcPr>
            <w:tcW w:w="2728" w:type="dxa"/>
          </w:tcPr>
          <w:p>
            <w:pPr>
              <w:spacing w:after="0" w:line="240" w:lineRule="auto"/>
              <w:jc w:val="right"/>
              <w:rPr>
                <w:rFonts w:ascii="Arial" w:hAnsi="Arial" w:eastAsia="宋体" w:cs="Arial"/>
                <w:lang w:eastAsia="zh-CN"/>
              </w:rPr>
            </w:pPr>
            <w:r>
              <w:rPr>
                <w:rFonts w:hint="eastAsia" w:ascii="Arial" w:hAnsi="Arial" w:eastAsia="宋体" w:cs="Arial"/>
                <w:lang w:eastAsia="zh-CN"/>
              </w:rPr>
              <w:t>30.5</w:t>
            </w:r>
            <w:r>
              <w:rPr>
                <w:rFonts w:ascii="Arial" w:hAnsi="Arial" w:cs="Arial"/>
              </w:rPr>
              <w:t>-6</w:t>
            </w:r>
            <w:r>
              <w:rPr>
                <w:rFonts w:hint="eastAsia" w:ascii="Arial" w:hAnsi="Arial" w:eastAsia="宋体" w:cs="Arial"/>
                <w:lang w:eastAsia="zh-CN"/>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2396" w:type="dxa"/>
          </w:tcPr>
          <w:p>
            <w:pPr>
              <w:spacing w:after="0" w:line="240" w:lineRule="auto"/>
              <w:rPr>
                <w:rFonts w:ascii="Arial" w:hAnsi="Arial" w:cs="Arial"/>
              </w:rPr>
            </w:pPr>
            <w:r>
              <w:rPr>
                <w:rFonts w:ascii="Arial" w:hAnsi="Arial" w:cs="Arial"/>
              </w:rPr>
              <w:t>Market Cap. (US$m)</w:t>
            </w:r>
          </w:p>
        </w:tc>
        <w:tc>
          <w:tcPr>
            <w:tcW w:w="2728" w:type="dxa"/>
          </w:tcPr>
          <w:p>
            <w:pPr>
              <w:spacing w:after="0" w:line="240" w:lineRule="auto"/>
              <w:jc w:val="right"/>
              <w:rPr>
                <w:rFonts w:ascii="Arial" w:hAnsi="Arial" w:eastAsia="宋体" w:cs="Arial"/>
                <w:lang w:eastAsia="zh-CN"/>
              </w:rPr>
            </w:pPr>
            <w:r>
              <w:rPr>
                <w:rFonts w:hint="eastAsia" w:ascii="Arial" w:hAnsi="Arial" w:eastAsia="宋体" w:cs="Arial"/>
                <w:lang w:eastAsia="zh-CN"/>
              </w:rPr>
              <w:t>2930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2396" w:type="dxa"/>
          </w:tcPr>
          <w:p>
            <w:pPr>
              <w:spacing w:after="0" w:line="240" w:lineRule="auto"/>
              <w:rPr>
                <w:rFonts w:ascii="Arial" w:hAnsi="Arial" w:cs="Arial"/>
              </w:rPr>
            </w:pPr>
          </w:p>
        </w:tc>
        <w:tc>
          <w:tcPr>
            <w:tcW w:w="2728" w:type="dxa"/>
          </w:tcPr>
          <w:p>
            <w:pPr>
              <w:spacing w:after="0" w:line="240" w:lineRule="auto"/>
              <w:jc w:val="right"/>
              <w:rPr>
                <w:rFonts w:ascii="Arial" w:hAnsi="Arial" w:eastAsia="宋体" w:cs="Arial"/>
                <w:lang w:eastAsia="zh-CN"/>
              </w:rPr>
            </w:pPr>
          </w:p>
        </w:tc>
      </w:tr>
    </w:tbl>
    <w:p>
      <w:pPr>
        <w:rPr>
          <w:rFonts w:ascii="Arial" w:hAnsi="Arial" w:cs="Arial"/>
          <w:b/>
          <w:sz w:val="28"/>
          <w:szCs w:val="28"/>
        </w:rPr>
      </w:pPr>
    </w:p>
    <w:p>
      <w:pPr>
        <w:rPr>
          <w:rFonts w:ascii="Arial" w:hAnsi="Arial" w:cs="Arial"/>
          <w:b/>
          <w:sz w:val="28"/>
          <w:szCs w:val="28"/>
        </w:rPr>
      </w:pPr>
    </w:p>
    <w:p>
      <w:pPr>
        <w:spacing w:line="276" w:lineRule="auto"/>
        <w:rPr>
          <w:rFonts w:ascii="Arial" w:hAnsi="Arial" w:cs="Arial"/>
          <w:i/>
          <w:sz w:val="16"/>
          <w:szCs w:val="16"/>
        </w:rPr>
      </w:pPr>
      <w:r>
        <w:rPr>
          <w:rFonts w:ascii="Arial" w:hAnsi="Arial" w:cs="Arial"/>
          <w:b/>
          <w:i/>
          <w:sz w:val="16"/>
          <w:szCs w:val="16"/>
        </w:rPr>
        <w:t>*</w:t>
      </w:r>
      <w:r>
        <w:rPr>
          <w:rFonts w:ascii="Arial" w:hAnsi="Arial" w:cs="Arial"/>
          <w:i/>
          <w:sz w:val="16"/>
          <w:szCs w:val="16"/>
        </w:rPr>
        <w:t>target price is for 6 months</w:t>
      </w:r>
    </w:p>
    <w:p>
      <w:r>
        <mc:AlternateContent>
          <mc:Choice Requires="wps">
            <w:drawing>
              <wp:anchor distT="0" distB="0" distL="114300" distR="114300" simplePos="0" relativeHeight="251661312" behindDoc="0" locked="0" layoutInCell="1" allowOverlap="1">
                <wp:simplePos x="0" y="0"/>
                <wp:positionH relativeFrom="column">
                  <wp:posOffset>4419600</wp:posOffset>
                </wp:positionH>
                <wp:positionV relativeFrom="paragraph">
                  <wp:posOffset>1535430</wp:posOffset>
                </wp:positionV>
                <wp:extent cx="257175" cy="3429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257175" cy="342900"/>
                        </a:xfrm>
                        <a:prstGeom prst="rect">
                          <a:avLst/>
                        </a:prstGeom>
                        <a:solidFill>
                          <a:schemeClr val="lt1"/>
                        </a:solidFill>
                        <a:ln w="6350">
                          <a:solidFill>
                            <a:prstClr val="black"/>
                          </a:solidFill>
                        </a:ln>
                      </wps:spPr>
                      <wps:txbx>
                        <w:txbxContent>
                          <w:p>
                            <w: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8" o:spid="_x0000_s1026" o:spt="202" type="#_x0000_t202" style="position:absolute;left:0pt;margin-left:348pt;margin-top:120.9pt;height:27pt;width:20.25pt;z-index:251661312;mso-width-relative:page;mso-height-relative:page;" fillcolor="#FFFFFF [3201]" filled="t" stroked="t" coordsize="21600,21600" o:gfxdata="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4lqnO9gAAAALAQAADwAAAAAAAAABACAAAAAiAAAAZHJzL2Rvd25yZXYueG1sUEsB&#10;AhQAFAAAAAgAh07iQDN2KykuAgAAZwQAAA4AAAAAAAAAAQAgAAAAJwEAAGRycy9lMm9Eb2MueG1s&#10;UEsFBgAAAAAGAAYAWQEAAMcFAAAAAA==&#10;">
                <v:fill on="t" focussize="0,0"/>
                <v:stroke weight="0.5pt" color="#000000" joinstyle="round"/>
                <v:imagedata o:title=""/>
                <o:lock v:ext="edit" aspectratio="f"/>
                <v:textbox>
                  <w:txbxContent>
                    <w:p>
                      <w:r>
                        <w:t>2</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1419225</wp:posOffset>
                </wp:positionH>
                <wp:positionV relativeFrom="paragraph">
                  <wp:posOffset>1535430</wp:posOffset>
                </wp:positionV>
                <wp:extent cx="219075" cy="3429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219075" cy="342900"/>
                        </a:xfrm>
                        <a:prstGeom prst="rect">
                          <a:avLst/>
                        </a:prstGeom>
                        <a:solidFill>
                          <a:schemeClr val="lt1"/>
                        </a:solidFill>
                        <a:ln w="6350">
                          <a:solidFill>
                            <a:prstClr val="black"/>
                          </a:solidFill>
                        </a:ln>
                      </wps:spPr>
                      <wps:txbx>
                        <w:txbxContent>
                          <w:p>
                            <w:pPr>
                              <w:rPr>
                                <w:sz w:val="24"/>
                                <w:szCs w:val="24"/>
                              </w:rPr>
                            </w:pPr>
                            <w:r>
                              <w:rPr>
                                <w:sz w:val="24"/>
                                <w:szCs w:val="24"/>
                              </w:rPr>
                              <w:t>1</w:t>
                            </w:r>
                          </w:p>
                          <w:p>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3" o:spid="_x0000_s1026" o:spt="202" type="#_x0000_t202" style="position:absolute;left:0pt;margin-left:111.75pt;margin-top:120.9pt;height:27pt;width:17.25pt;z-index:251659264;mso-width-relative:page;mso-height-relative:page;" fillcolor="#FFFFFF [3201]" filled="t" stroked="t" coordsize="21600,21600" o:gfxdata="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xd+/T1wAAAAsBAAAPAAAAAAAAAAEAIAAAACIAAABkcnMvZG93bnJldi54bWxQSwEC&#10;FAAUAAAACACHTuJAaSSafC4CAABnBAAADgAAAAAAAAABACAAAAAmAQAAZHJzL2Uyb0RvYy54bWxQ&#10;SwUGAAAAAAYABgBZAQAAxgUAAAAA&#10;">
                <v:fill on="t" focussize="0,0"/>
                <v:stroke weight="0.5pt" color="#000000" joinstyle="round"/>
                <v:imagedata o:title=""/>
                <o:lock v:ext="edit" aspectratio="f"/>
                <v:textbox>
                  <w:txbxContent>
                    <w:p>
                      <w:pPr>
                        <w:rPr>
                          <w:sz w:val="24"/>
                          <w:szCs w:val="24"/>
                        </w:rPr>
                      </w:pPr>
                      <w:r>
                        <w:rPr>
                          <w:sz w:val="24"/>
                          <w:szCs w:val="24"/>
                        </w:rPr>
                        <w:t>1</w:t>
                      </w:r>
                    </w:p>
                    <w:p>
                      <w:pPr>
                        <w:rPr>
                          <w:sz w:val="24"/>
                          <w:szCs w:val="24"/>
                        </w:rP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4514850</wp:posOffset>
                </wp:positionH>
                <wp:positionV relativeFrom="paragraph">
                  <wp:posOffset>1373505</wp:posOffset>
                </wp:positionV>
                <wp:extent cx="0" cy="161925"/>
                <wp:effectExtent l="0" t="0" r="19050" b="28575"/>
                <wp:wrapNone/>
                <wp:docPr id="7" name="Straight Connector 7"/>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o:spt="20" style="position:absolute;left:0pt;margin-left:355.5pt;margin-top:108.15pt;height:12.75pt;width:0pt;z-index:251660288;mso-width-relative:page;mso-height-relative:page;" filled="f" stroked="t" coordsize="21600,21600" o:gfxdata="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Ua7KNkAAAALAQAADwAAAAAAAAABACAAAAAiAAAAZHJzL2Rvd25yZXYueG1sUEsB&#10;AhQAFAAAAAgAh07iQCYyBNa7AQAAZQMAAA4AAAAAAAAAAQAgAAAAKAEAAGRycy9lMm9Eb2MueG1s&#10;UEsFBgAAAAAGAAYAWQEAAFUFAAAAAA==&#10;">
                <v:fill on="f" focussize="0,0"/>
                <v:stroke weight="0.5pt" color="#5B9BD5 [3204]" miterlimit="8" joinstyle="miter"/>
                <v:imagedata o:title=""/>
                <o:lock v:ext="edit" aspectratio="f"/>
              </v:line>
            </w:pict>
          </mc:Fallback>
        </mc:AlternateContent>
      </w:r>
      <w:r>
        <mc:AlternateContent>
          <mc:Choice Requires="wps">
            <w:drawing>
              <wp:anchor distT="0" distB="0" distL="114300" distR="114300" simplePos="0" relativeHeight="251657216" behindDoc="0" locked="0" layoutInCell="1" allowOverlap="1">
                <wp:simplePos x="0" y="0"/>
                <wp:positionH relativeFrom="column">
                  <wp:posOffset>1533525</wp:posOffset>
                </wp:positionH>
                <wp:positionV relativeFrom="paragraph">
                  <wp:posOffset>1369060</wp:posOffset>
                </wp:positionV>
                <wp:extent cx="0" cy="1619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o:spt="20" style="position:absolute;left:0pt;margin-left:120.75pt;margin-top:107.8pt;height:12.75pt;width:0pt;z-index:251657216;mso-width-relative:page;mso-height-relative:page;" filled="f" stroked="t" coordsize="21600,21600" o:gfxdata="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WCCeXXAAAACwEAAA8AAAAAAAAAAQAgAAAAIgAAAGRycy9kb3ducmV2LnhtbFBLAQIU&#10;ABQAAAAIAIdO4kA8DxpvuwEAAGUDAAAOAAAAAAAAAAEAIAAAACYBAABkcnMvZTJvRG9jLnhtbFBL&#10;BQYAAAAABgAGAFkBAABTBQAAAAA=&#10;">
                <v:fill on="f" focussize="0,0"/>
                <v:stroke weight="0.5pt" color="#5B9BD5 [3204]" miterlimit="8" joinstyle="miter"/>
                <v:imagedata o:title=""/>
                <o:lock v:ext="edit" aspectratio="f"/>
              </v:line>
            </w:pict>
          </mc:Fallback>
        </mc:AlternateContent>
      </w:r>
      <w:r>
        <w:drawing>
          <wp:inline distT="0" distB="0" distL="114300" distR="114300">
            <wp:extent cx="6231890" cy="1757680"/>
            <wp:effectExtent l="0" t="0" r="0" b="0"/>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5"/>
                    <a:stretch>
                      <a:fillRect/>
                    </a:stretch>
                  </pic:blipFill>
                  <pic:spPr>
                    <a:xfrm>
                      <a:off x="0" y="0"/>
                      <a:ext cx="6231890" cy="1757680"/>
                    </a:xfrm>
                    <a:prstGeom prst="rect">
                      <a:avLst/>
                    </a:prstGeom>
                    <a:noFill/>
                    <a:ln>
                      <a:noFill/>
                    </a:ln>
                  </pic:spPr>
                </pic:pic>
              </a:graphicData>
            </a:graphic>
          </wp:inline>
        </w:drawing>
      </w:r>
    </w:p>
    <w:p>
      <w:pPr>
        <w:pStyle w:val="14"/>
        <w:numPr>
          <w:ilvl w:val="0"/>
          <w:numId w:val="1"/>
        </w:numPr>
      </w:pPr>
      <w:r>
        <w:t xml:space="preserve">On Dec3 19, the company announced </w:t>
      </w:r>
      <w:r>
        <w:rPr>
          <w:b/>
        </w:rPr>
        <w:t>POSTIVE</w:t>
      </w:r>
      <w:r>
        <w:t xml:space="preserve"> </w:t>
      </w:r>
      <w:r>
        <w:fldChar w:fldCharType="begin"/>
      </w:r>
      <w:r>
        <w:instrText xml:space="preserve"> HYPERLINK "https://seekingalpha.com/news/3414001-global-bloods-voxelotor-shows-positive-action-late-stage-sickle-cell-study-shares-56-percent" </w:instrText>
      </w:r>
      <w:r>
        <w:fldChar w:fldCharType="separate"/>
      </w:r>
      <w:r>
        <w:rPr>
          <w:rStyle w:val="7"/>
          <w:b w:val="0"/>
        </w:rPr>
        <w:t>results</w:t>
      </w:r>
      <w:r>
        <w:rPr>
          <w:rStyle w:val="7"/>
          <w:b w:val="0"/>
        </w:rPr>
        <w:fldChar w:fldCharType="end"/>
      </w:r>
      <w:r>
        <w:t xml:space="preserve"> from a critical Phase 3(HOPE Study).This caused the shares to rocket up almost 50% on the day. Meanwhile GBT is preparing the NDA having more clarity on its confirmatory study design before end Q1 2019, also complete the Licensed Agreement for Inclacumab with Roche. Those news are good catalysts on the horizon, which is seeing a big uptick for 1Q 19.</w:t>
      </w:r>
    </w:p>
    <w:p>
      <w:pPr>
        <w:pStyle w:val="14"/>
        <w:numPr>
          <w:ilvl w:val="0"/>
          <w:numId w:val="1"/>
        </w:numPr>
      </w:pPr>
      <w:r>
        <w:t>July 26 reaching the highest cause Trade War Settlement. Hopes Resurface</w:t>
      </w:r>
    </w:p>
    <w:p>
      <w:pPr>
        <w:pStyle w:val="14"/>
      </w:pPr>
      <w:r>
        <w:t xml:space="preserve">Catalysts remain aplenty within the next years that could drive shares upward. </w:t>
      </w:r>
    </w:p>
    <w:p>
      <w:pPr>
        <w:rPr>
          <w:rFonts w:ascii="Arial" w:hAnsi="Arial" w:cs="Arial"/>
          <w:b/>
          <w:bCs/>
        </w:rPr>
      </w:pPr>
    </w:p>
    <w:p>
      <w:pPr>
        <w:rPr>
          <w:rFonts w:ascii="Times" w:hAnsi="Times"/>
          <w:b/>
        </w:rPr>
      </w:pPr>
      <w:r>
        <w:rPr>
          <w:rFonts w:ascii="Times" w:hAnsi="Times"/>
          <w:b/>
        </w:rPr>
        <w:t>COMPANY OVERVIEW</w:t>
      </w:r>
    </w:p>
    <w:p>
      <w:pPr>
        <w:pStyle w:val="15"/>
        <w:rPr>
          <w:rFonts w:ascii="Times" w:hAnsi="Times"/>
        </w:rPr>
      </w:pPr>
      <w:r>
        <w:rPr>
          <w:rFonts w:ascii="Times" w:hAnsi="Times"/>
        </w:rPr>
        <w:t xml:space="preserve">GBT is a </w:t>
      </w:r>
      <w:r>
        <w:t xml:space="preserve">biopharmaceutical company, developing its late-stage product candidate, voxelotor, for the treatment of sickle cell disease </w:t>
      </w:r>
      <w:r>
        <w:rPr>
          <w:rFonts w:ascii="Times" w:hAnsi="Times"/>
        </w:rPr>
        <w:t>SCD</w:t>
      </w:r>
      <w:r>
        <w:t>.</w:t>
      </w:r>
    </w:p>
    <w:p>
      <w:pPr>
        <w:pStyle w:val="15"/>
        <w:rPr>
          <w:rFonts w:ascii="Times" w:hAnsi="Times"/>
        </w:rPr>
      </w:pPr>
    </w:p>
    <w:p>
      <w:pPr>
        <w:pStyle w:val="15"/>
        <w:rPr>
          <w:rFonts w:ascii="Times" w:hAnsi="Times"/>
          <w:b/>
        </w:rPr>
      </w:pPr>
    </w:p>
    <w:p>
      <w:pPr>
        <w:pStyle w:val="15"/>
        <w:rPr>
          <w:rFonts w:ascii="Times" w:hAnsi="Times"/>
          <w:b/>
        </w:rPr>
      </w:pPr>
    </w:p>
    <w:p>
      <w:pPr>
        <w:pStyle w:val="15"/>
        <w:rPr>
          <w:rFonts w:ascii="Times" w:hAnsi="Times"/>
          <w:b/>
        </w:rPr>
      </w:pPr>
    </w:p>
    <w:p>
      <w:pPr>
        <w:pStyle w:val="15"/>
        <w:rPr>
          <w:rFonts w:ascii="Times" w:hAnsi="Times"/>
          <w:b/>
        </w:rPr>
      </w:pPr>
    </w:p>
    <w:p>
      <w:pPr>
        <w:pStyle w:val="15"/>
        <w:rPr>
          <w:rFonts w:ascii="Times" w:hAnsi="Times"/>
          <w:b/>
        </w:rPr>
      </w:pPr>
    </w:p>
    <w:p>
      <w:pPr>
        <w:pStyle w:val="15"/>
        <w:rPr>
          <w:rFonts w:ascii="Times" w:hAnsi="Times"/>
          <w:b/>
        </w:rPr>
      </w:pPr>
    </w:p>
    <w:p>
      <w:pPr>
        <w:pStyle w:val="15"/>
        <w:rPr>
          <w:rFonts w:ascii="Times" w:hAnsi="Times"/>
          <w:b/>
        </w:rPr>
      </w:pPr>
    </w:p>
    <w:p>
      <w:pPr>
        <w:pStyle w:val="15"/>
        <w:rPr>
          <w:rFonts w:ascii="Times" w:hAnsi="Times"/>
          <w:b/>
        </w:rPr>
      </w:pPr>
    </w:p>
    <w:p>
      <w:pPr>
        <w:pStyle w:val="15"/>
        <w:rPr>
          <w:rFonts w:ascii="Times" w:hAnsi="Times"/>
          <w:b/>
        </w:rPr>
      </w:pPr>
    </w:p>
    <w:p>
      <w:pPr>
        <w:pStyle w:val="15"/>
        <w:rPr>
          <w:rFonts w:ascii="Times" w:hAnsi="Times"/>
          <w:b/>
        </w:rPr>
      </w:pPr>
    </w:p>
    <w:p>
      <w:pPr>
        <w:pStyle w:val="15"/>
        <w:rPr>
          <w:b/>
        </w:rPr>
      </w:pPr>
      <w:r>
        <w:rPr>
          <w:rFonts w:ascii="Times" w:hAnsi="Times"/>
          <w:b/>
        </w:rPr>
        <w:t>PIPELINE</w:t>
      </w:r>
    </w:p>
    <w:p>
      <w:r>
        <w:drawing>
          <wp:inline distT="0" distB="0" distL="114300" distR="114300">
            <wp:extent cx="5274310" cy="5516245"/>
            <wp:effectExtent l="0" t="0" r="2540" b="825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6"/>
                    <a:stretch>
                      <a:fillRect/>
                    </a:stretch>
                  </pic:blipFill>
                  <pic:spPr>
                    <a:xfrm>
                      <a:off x="0" y="0"/>
                      <a:ext cx="5274310" cy="5516460"/>
                    </a:xfrm>
                    <a:prstGeom prst="rect">
                      <a:avLst/>
                    </a:prstGeom>
                    <a:noFill/>
                    <a:ln>
                      <a:noFill/>
                    </a:ln>
                  </pic:spPr>
                </pic:pic>
              </a:graphicData>
            </a:graphic>
          </wp:inline>
        </w:drawing>
      </w:r>
    </w:p>
    <w:p>
      <w:pPr>
        <w:pStyle w:val="15"/>
        <w:rPr>
          <w:rFonts w:ascii="Times" w:hAnsi="Times"/>
          <w:b/>
        </w:rPr>
      </w:pPr>
      <w:r>
        <w:rPr>
          <w:rFonts w:ascii="Times" w:hAnsi="Times"/>
          <w:b/>
        </w:rPr>
        <w:t>FINANCIALS</w:t>
      </w:r>
    </w:p>
    <w:p>
      <w:pPr>
        <w:pStyle w:val="15"/>
        <w:rPr>
          <w:rFonts w:ascii="Times" w:hAnsi="Times"/>
        </w:rPr>
      </w:pPr>
    </w:p>
    <w:p>
      <w:pPr>
        <w:pStyle w:val="12"/>
        <w:spacing w:line="276" w:lineRule="auto"/>
        <w:ind w:left="0"/>
        <w:jc w:val="both"/>
        <w:rPr>
          <w:rFonts w:ascii="Times New Roman" w:hAnsi="Times New Roman" w:cs="Times New Roman"/>
          <w:sz w:val="20"/>
          <w:szCs w:val="20"/>
        </w:rPr>
      </w:pPr>
      <w:r>
        <w:rPr>
          <w:rFonts w:ascii="Times New Roman" w:hAnsi="Times New Roman" w:eastAsia="宋体" w:cs="Times New Roman"/>
          <w:sz w:val="20"/>
          <w:szCs w:val="20"/>
          <w:lang w:eastAsia="zh-CN"/>
        </w:rPr>
        <w:t>GBT has Cash $732 M at June 30, 2019, with a quarterly cash burn rate 60 M.</w:t>
      </w:r>
      <w:r>
        <w:rPr>
          <w:rFonts w:ascii="Times New Roman" w:hAnsi="Times New Roman" w:cs="Times New Roman"/>
          <w:sz w:val="20"/>
          <w:szCs w:val="20"/>
        </w:rPr>
        <w:t xml:space="preserve"> This should be sufficient to fund the company next 2.5 years. (2)</w:t>
      </w:r>
    </w:p>
    <w:p>
      <w:pPr>
        <w:pStyle w:val="12"/>
        <w:spacing w:line="276" w:lineRule="auto"/>
        <w:ind w:left="0"/>
        <w:jc w:val="both"/>
      </w:pPr>
    </w:p>
    <w:p>
      <w:pPr>
        <w:pStyle w:val="15"/>
        <w:rPr>
          <w:rFonts w:ascii="Times" w:hAnsi="Times"/>
          <w:b/>
        </w:rPr>
      </w:pPr>
      <w:r>
        <w:rPr>
          <w:rFonts w:ascii="Times" w:hAnsi="Times"/>
          <w:b/>
        </w:rPr>
        <w:t>ESTIMATES</w:t>
      </w:r>
    </w:p>
    <w:p>
      <w:pPr>
        <w:pStyle w:val="15"/>
        <w:rPr>
          <w:rFonts w:ascii="Times" w:hAnsi="Times"/>
        </w:rPr>
      </w:pPr>
      <w:r>
        <w:rPr>
          <w:rFonts w:ascii="Times" w:hAnsi="Times"/>
        </w:rPr>
        <w:t xml:space="preserve">See GBT Excel </w:t>
      </w:r>
    </w:p>
    <w:p>
      <w:pPr>
        <w:pStyle w:val="15"/>
        <w:rPr>
          <w:rFonts w:ascii="Times" w:hAnsi="Times"/>
        </w:rPr>
      </w:pPr>
    </w:p>
    <w:p>
      <w:pPr>
        <w:pStyle w:val="15"/>
        <w:rPr>
          <w:rFonts w:ascii="Times" w:hAnsi="Times"/>
          <w:b/>
        </w:rPr>
      </w:pPr>
    </w:p>
    <w:p>
      <w:pPr>
        <w:pStyle w:val="15"/>
        <w:rPr>
          <w:rFonts w:ascii="Times" w:hAnsi="Times"/>
          <w:b/>
        </w:rPr>
      </w:pPr>
    </w:p>
    <w:p>
      <w:pPr>
        <w:pStyle w:val="15"/>
        <w:rPr>
          <w:rFonts w:ascii="Times" w:hAnsi="Times"/>
          <w:b/>
        </w:rPr>
      </w:pPr>
    </w:p>
    <w:p>
      <w:pPr>
        <w:pStyle w:val="15"/>
        <w:rPr>
          <w:rFonts w:ascii="Times" w:hAnsi="Times"/>
          <w:b/>
        </w:rPr>
      </w:pPr>
    </w:p>
    <w:p>
      <w:pPr>
        <w:pStyle w:val="15"/>
        <w:rPr>
          <w:rFonts w:ascii="Times" w:hAnsi="Times"/>
          <w:b/>
        </w:rPr>
      </w:pPr>
    </w:p>
    <w:p>
      <w:pPr>
        <w:pStyle w:val="15"/>
        <w:rPr>
          <w:rFonts w:ascii="Times" w:hAnsi="Times"/>
          <w:b/>
        </w:rPr>
      </w:pPr>
    </w:p>
    <w:p>
      <w:pPr>
        <w:pStyle w:val="15"/>
        <w:rPr>
          <w:rFonts w:ascii="Times" w:hAnsi="Times"/>
          <w:b/>
        </w:rPr>
      </w:pPr>
      <w:r>
        <w:rPr>
          <w:rFonts w:ascii="Times" w:hAnsi="Times"/>
          <w:b/>
        </w:rPr>
        <w:t>RISKS</w:t>
      </w:r>
    </w:p>
    <w:p>
      <w:pPr>
        <w:pStyle w:val="15"/>
        <w:numPr>
          <w:ilvl w:val="0"/>
          <w:numId w:val="2"/>
        </w:numPr>
        <w:rPr>
          <w:rFonts w:ascii="Times New Roman" w:hAnsi="Times New Roman"/>
          <w:sz w:val="22"/>
          <w:szCs w:val="22"/>
        </w:rPr>
      </w:pPr>
      <w:r>
        <w:rPr>
          <w:rFonts w:ascii="Times New Roman" w:hAnsi="Times New Roman"/>
          <w:sz w:val="22"/>
          <w:szCs w:val="22"/>
        </w:rPr>
        <w:t>Voxelotor's failure to obtain FDA approval for SCD and the additional pediatric expansion</w:t>
      </w:r>
    </w:p>
    <w:p>
      <w:pPr>
        <w:pStyle w:val="15"/>
        <w:rPr>
          <w:rFonts w:ascii="Times New Roman" w:hAnsi="Times New Roman"/>
          <w:sz w:val="22"/>
          <w:szCs w:val="22"/>
        </w:rPr>
      </w:pPr>
    </w:p>
    <w:p>
      <w:pPr>
        <w:pStyle w:val="15"/>
        <w:numPr>
          <w:ilvl w:val="0"/>
          <w:numId w:val="2"/>
        </w:numPr>
        <w:spacing w:line="276" w:lineRule="auto"/>
        <w:jc w:val="both"/>
        <w:rPr>
          <w:rFonts w:ascii="Times New Roman" w:hAnsi="Times New Roman"/>
          <w:sz w:val="22"/>
          <w:szCs w:val="22"/>
        </w:rPr>
      </w:pPr>
      <w:r>
        <w:rPr>
          <w:rFonts w:ascii="Times New Roman" w:hAnsi="Times New Roman"/>
          <w:sz w:val="22"/>
          <w:szCs w:val="22"/>
        </w:rPr>
        <w:t>Further dilution. Although the company just executed a public offering, it will most likely need more cash to support manufacturing, marketing, and sales forces need for the launch</w:t>
      </w:r>
    </w:p>
    <w:p>
      <w:pPr>
        <w:pStyle w:val="15"/>
        <w:numPr>
          <w:ilvl w:val="0"/>
          <w:numId w:val="2"/>
        </w:numPr>
        <w:spacing w:line="276" w:lineRule="auto"/>
        <w:jc w:val="both"/>
        <w:rPr>
          <w:rFonts w:ascii="Times New Roman" w:hAnsi="Times New Roman"/>
          <w:sz w:val="22"/>
          <w:szCs w:val="22"/>
        </w:rPr>
      </w:pPr>
      <w:r>
        <w:rPr>
          <w:rFonts w:ascii="Times New Roman" w:hAnsi="Times New Roman"/>
          <w:sz w:val="22"/>
          <w:szCs w:val="22"/>
        </w:rPr>
        <w:t>The other concern is if other investigations of voxelotor and inclacumab can generate positive endpoints. If not stock will drop 50% off</w:t>
      </w:r>
    </w:p>
    <w:p>
      <w:pPr>
        <w:pStyle w:val="15"/>
        <w:rPr>
          <w:rFonts w:ascii="Times New Roman" w:hAnsi="Times New Roman"/>
          <w:sz w:val="22"/>
          <w:szCs w:val="22"/>
        </w:rPr>
      </w:pPr>
    </w:p>
    <w:p>
      <w:pPr>
        <w:pStyle w:val="15"/>
        <w:rPr>
          <w:rFonts w:ascii="Times" w:hAnsi="Times"/>
        </w:rPr>
      </w:pPr>
    </w:p>
    <w:p>
      <w:pPr>
        <w:pStyle w:val="15"/>
        <w:rPr>
          <w:rFonts w:ascii="Times" w:hAnsi="Times"/>
          <w:b/>
        </w:rPr>
      </w:pPr>
      <w:r>
        <w:rPr>
          <w:rFonts w:ascii="Times" w:hAnsi="Times"/>
          <w:b/>
        </w:rPr>
        <w:t xml:space="preserve">CATALYST </w:t>
      </w:r>
    </w:p>
    <w:p>
      <w:pPr>
        <w:pStyle w:val="15"/>
        <w:rPr>
          <w:rFonts w:ascii="Times" w:hAnsi="Times"/>
          <w:b/>
        </w:rPr>
      </w:pPr>
    </w:p>
    <w:p>
      <w:pPr>
        <w:pStyle w:val="15"/>
        <w:rPr>
          <w:rFonts w:ascii="Times" w:hAnsi="Times"/>
        </w:rPr>
      </w:pPr>
      <w:r>
        <w:drawing>
          <wp:inline distT="0" distB="0" distL="0" distR="0">
            <wp:extent cx="5274310" cy="17329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a:stretch>
                      <a:fillRect/>
                    </a:stretch>
                  </pic:blipFill>
                  <pic:spPr>
                    <a:xfrm>
                      <a:off x="0" y="0"/>
                      <a:ext cx="5274310" cy="1732915"/>
                    </a:xfrm>
                    <a:prstGeom prst="rect">
                      <a:avLst/>
                    </a:prstGeom>
                  </pic:spPr>
                </pic:pic>
              </a:graphicData>
            </a:graphic>
          </wp:inline>
        </w:drawing>
      </w:r>
    </w:p>
    <w:p>
      <w:pPr>
        <w:pStyle w:val="15"/>
        <w:rPr>
          <w:rFonts w:ascii="Times" w:hAnsi="Times"/>
          <w:b/>
        </w:rPr>
      </w:pPr>
    </w:p>
    <w:p>
      <w:pPr>
        <w:pStyle w:val="15"/>
        <w:rPr>
          <w:rFonts w:ascii="Times" w:hAnsi="Times"/>
          <w:b/>
        </w:rPr>
      </w:pPr>
      <w:r>
        <w:rPr>
          <w:rFonts w:ascii="Times" w:hAnsi="Times"/>
          <w:b/>
        </w:rPr>
        <w:t xml:space="preserve">CONCLUSION / INVESTMENT THESIS </w:t>
      </w:r>
    </w:p>
    <w:p>
      <w:pPr>
        <w:pStyle w:val="15"/>
        <w:rPr>
          <w:rFonts w:ascii="Times New Roman" w:hAnsi="Times New Roman"/>
          <w:sz w:val="22"/>
          <w:szCs w:val="22"/>
        </w:rPr>
      </w:pPr>
      <w:r>
        <w:rPr>
          <w:rFonts w:ascii="Times New Roman" w:hAnsi="Times New Roman"/>
          <w:sz w:val="22"/>
          <w:szCs w:val="22"/>
        </w:rPr>
        <w:t>The run-up in the stock price in 1H 2019, showed the excellent results for voxelotor Phase3 HOPE Study. However, some of the decline in the stock price also seems justified. Given that, the SCD market sits around $3B without a dominant drug like voxelotor, This seems like a good buy given the lack of good treatment options in SCD. (1) Expected to overwhelmingly bullish reaching $80 per share. (3) So I would recommend buy 5% of the Portfolio.</w:t>
      </w:r>
    </w:p>
    <w:p>
      <w:pPr>
        <w:pStyle w:val="15"/>
        <w:rPr>
          <w:rFonts w:hint="default" w:ascii="Times" w:hAnsi="Times"/>
          <w:lang w:val="en-US"/>
        </w:rPr>
      </w:pPr>
    </w:p>
    <w:p>
      <w:pPr>
        <w:pStyle w:val="15"/>
        <w:rPr>
          <w:rFonts w:ascii="Times" w:hAnsi="Times"/>
          <w:b/>
        </w:rPr>
      </w:pPr>
    </w:p>
    <w:p>
      <w:pPr>
        <w:pStyle w:val="15"/>
        <w:rPr>
          <w:rFonts w:hint="default" w:ascii="Times" w:hAnsi="Times"/>
          <w:lang w:val="en-US"/>
        </w:rPr>
      </w:pPr>
      <w:r>
        <w:rPr>
          <w:rFonts w:hint="default" w:ascii="Times" w:hAnsi="Times"/>
          <w:b/>
          <w:lang w:val="en-US"/>
        </w:rPr>
        <w:t xml:space="preserve">RESEARCH </w:t>
      </w:r>
      <w:r>
        <w:rPr>
          <w:rFonts w:ascii="Times" w:hAnsi="Times"/>
          <w:b/>
        </w:rPr>
        <w:t xml:space="preserve"> </w:t>
      </w:r>
    </w:p>
    <w:p>
      <w:pPr>
        <w:pStyle w:val="15"/>
        <w:rPr>
          <w:rFonts w:hint="default" w:ascii="Times" w:hAnsi="Times"/>
          <w:lang w:val="en-US"/>
        </w:rPr>
      </w:pPr>
      <w:r>
        <w:rPr>
          <w:rFonts w:hint="default" w:ascii="Times" w:hAnsi="Times"/>
          <w:lang w:val="en-US"/>
        </w:rPr>
        <w:t>Currently, there is no drug to treat SCD. SCD people Treatments might include medications to reduce pain and prevent complications, and blood transfusions, as well as a bone marrow transplant. Bone marrow transplant for age under 16.</w:t>
      </w:r>
    </w:p>
    <w:p>
      <w:pPr>
        <w:pStyle w:val="15"/>
        <w:rPr>
          <w:rFonts w:hint="default" w:ascii="Times" w:hAnsi="Times"/>
          <w:lang w:val="en-US"/>
        </w:rPr>
      </w:pPr>
    </w:p>
    <w:p>
      <w:pPr>
        <w:pStyle w:val="15"/>
        <w:rPr>
          <w:rFonts w:hint="default" w:ascii="Times" w:hAnsi="Times"/>
          <w:lang w:val="en-US"/>
        </w:rPr>
      </w:pPr>
      <w:r>
        <w:rPr>
          <w:rFonts w:hint="default" w:ascii="Times" w:hAnsi="Times"/>
          <w:lang w:val="en-US"/>
        </w:rPr>
        <w:t>Babies and children age 2 and younger with sickle cell anemia are making frequent visits to a doctor. Children older than 2 and adults with sickle cell anemia see a doctor at least once a year.(4)</w:t>
      </w:r>
      <w:bookmarkStart w:id="0" w:name="_GoBack"/>
      <w:bookmarkEnd w:id="0"/>
    </w:p>
    <w:p>
      <w:pPr>
        <w:pStyle w:val="12"/>
        <w:spacing w:line="276" w:lineRule="auto"/>
        <w:ind w:left="0"/>
        <w:jc w:val="both"/>
        <w:rPr>
          <w:rFonts w:ascii="Times" w:hAnsi="Times" w:cs="Times New Roman" w:eastAsiaTheme="minorEastAsia"/>
          <w:sz w:val="24"/>
          <w:szCs w:val="24"/>
        </w:rPr>
      </w:pPr>
    </w:p>
    <w:p>
      <w:pPr>
        <w:pStyle w:val="12"/>
        <w:spacing w:line="276" w:lineRule="auto"/>
        <w:ind w:left="0"/>
        <w:jc w:val="both"/>
        <w:rPr>
          <w:rFonts w:ascii="Times" w:hAnsi="Times" w:cs="Times New Roman" w:eastAsiaTheme="minorEastAsia"/>
          <w:sz w:val="24"/>
          <w:szCs w:val="24"/>
        </w:rPr>
      </w:pPr>
    </w:p>
    <w:p>
      <w:pPr>
        <w:pStyle w:val="12"/>
        <w:spacing w:line="276" w:lineRule="auto"/>
        <w:ind w:left="0"/>
        <w:jc w:val="both"/>
        <w:rPr>
          <w:rFonts w:ascii="Arial" w:hAnsi="Arial" w:cs="Arial"/>
          <w:b/>
          <w:sz w:val="28"/>
          <w:szCs w:val="28"/>
        </w:rPr>
      </w:pPr>
    </w:p>
    <w:p>
      <w:pPr>
        <w:pStyle w:val="12"/>
        <w:spacing w:line="276" w:lineRule="auto"/>
        <w:ind w:left="0"/>
        <w:jc w:val="both"/>
        <w:rPr>
          <w:rFonts w:ascii="Times New Roman" w:hAnsi="Times New Roman" w:cs="Times New Roman"/>
          <w:b/>
          <w:sz w:val="24"/>
          <w:szCs w:val="24"/>
        </w:rPr>
      </w:pPr>
    </w:p>
    <w:p>
      <w:pPr>
        <w:pStyle w:val="12"/>
        <w:spacing w:line="276" w:lineRule="auto"/>
        <w:ind w:left="0"/>
        <w:jc w:val="both"/>
        <w:rPr>
          <w:rFonts w:ascii="Times New Roman" w:hAnsi="Times New Roman" w:cs="Times New Roman"/>
          <w:b/>
          <w:sz w:val="24"/>
          <w:szCs w:val="24"/>
        </w:rPr>
      </w:pPr>
    </w:p>
    <w:p>
      <w:pPr>
        <w:pStyle w:val="12"/>
        <w:spacing w:line="276" w:lineRule="auto"/>
        <w:ind w:left="0"/>
        <w:jc w:val="both"/>
        <w:rPr>
          <w:rFonts w:ascii="Times New Roman" w:hAnsi="Times New Roman" w:cs="Times New Roman"/>
          <w:b/>
          <w:sz w:val="24"/>
          <w:szCs w:val="24"/>
        </w:rPr>
      </w:pPr>
    </w:p>
    <w:p>
      <w:pPr>
        <w:pStyle w:val="12"/>
        <w:spacing w:line="276" w:lineRule="auto"/>
        <w:ind w:left="0"/>
        <w:jc w:val="both"/>
        <w:rPr>
          <w:rFonts w:ascii="Times New Roman" w:hAnsi="Times New Roman" w:cs="Times New Roman"/>
          <w:b/>
          <w:sz w:val="24"/>
          <w:szCs w:val="24"/>
        </w:rPr>
      </w:pPr>
      <w:r>
        <w:rPr>
          <w:rFonts w:ascii="Times New Roman" w:hAnsi="Times New Roman" w:cs="Times New Roman"/>
          <w:b/>
          <w:sz w:val="24"/>
          <w:szCs w:val="24"/>
        </w:rPr>
        <w:t>Reference:</w:t>
      </w:r>
    </w:p>
    <w:p>
      <w:pPr>
        <w:pStyle w:val="12"/>
        <w:spacing w:line="276" w:lineRule="auto"/>
        <w:ind w:left="0"/>
        <w:jc w:val="both"/>
        <w:rPr>
          <w:rFonts w:ascii="Times New Roman" w:hAnsi="Times New Roman" w:cs="Times New Roman"/>
          <w:sz w:val="24"/>
          <w:szCs w:val="24"/>
        </w:rPr>
      </w:pPr>
      <w:r>
        <w:rPr>
          <w:rFonts w:ascii="Times New Roman" w:hAnsi="Times New Roman" w:cs="Times New Roman"/>
          <w:sz w:val="24"/>
          <w:szCs w:val="24"/>
        </w:rPr>
        <w:t>1.https://seekingalpha.com/article/4233354-global-blood-therapeutics-continues-build-strong-case-successful-commercialization</w:t>
      </w:r>
    </w:p>
    <w:p>
      <w:pPr>
        <w:pStyle w:val="12"/>
        <w:spacing w:line="276" w:lineRule="auto"/>
        <w:ind w:left="0"/>
        <w:jc w:val="both"/>
        <w:rPr>
          <w:rFonts w:ascii="Times New Roman" w:hAnsi="Times New Roman" w:cs="Times New Roman"/>
          <w:sz w:val="24"/>
          <w:szCs w:val="24"/>
        </w:rPr>
      </w:pPr>
      <w:r>
        <w:rPr>
          <w:rFonts w:ascii="Times New Roman" w:hAnsi="Times New Roman" w:cs="Times New Roman"/>
          <w:sz w:val="24"/>
          <w:szCs w:val="24"/>
        </w:rPr>
        <w:t>2.https://seekingalpha.com/pr/17597072-gbt-reports-recent-business-progress-second-quarter-2019-financial-results</w:t>
      </w:r>
    </w:p>
    <w:p>
      <w:pPr>
        <w:pStyle w:val="12"/>
        <w:spacing w:line="276" w:lineRule="auto"/>
        <w:ind w:left="0"/>
        <w:jc w:val="both"/>
        <w:rPr>
          <w:rFonts w:ascii="Times New Roman" w:hAnsi="Times New Roman" w:cs="Times New Roman"/>
          <w:sz w:val="24"/>
          <w:szCs w:val="24"/>
        </w:rPr>
      </w:pPr>
      <w:r>
        <w:rPr>
          <w:rFonts w:ascii="Times New Roman" w:hAnsi="Times New Roman" w:cs="Times New Roman"/>
          <w:sz w:val="24"/>
          <w:szCs w:val="24"/>
        </w:rPr>
        <w:t>3.https://seekingalpha.com/news/3471548-analysts-stay-bullish-global-blood-therapeutics-say-selloff-overdone</w:t>
      </w:r>
    </w:p>
    <w:p>
      <w:pPr>
        <w:pStyle w:val="12"/>
        <w:spacing w:line="276" w:lineRule="auto"/>
        <w:ind w:left="0"/>
        <w:jc w:val="both"/>
        <w:rPr>
          <w:rFonts w:ascii="Times New Roman" w:hAnsi="Times New Roman" w:cs="Times New Roman"/>
          <w:sz w:val="24"/>
          <w:szCs w:val="24"/>
        </w:rPr>
      </w:pPr>
      <w:r>
        <w:rPr>
          <w:rFonts w:hint="default" w:ascii="Times New Roman" w:hAnsi="Times New Roman" w:cs="Times New Roman"/>
          <w:sz w:val="24"/>
          <w:szCs w:val="24"/>
          <w:lang w:val="en-US"/>
        </w:rPr>
        <w:t>4.</w:t>
      </w:r>
      <w:r>
        <w:rPr>
          <w:rFonts w:hint="eastAsia" w:ascii="Times New Roman" w:hAnsi="Times New Roman" w:cs="Times New Roman"/>
          <w:sz w:val="24"/>
          <w:szCs w:val="24"/>
        </w:rPr>
        <w:t>https://www.mayoclinic.org/diseases-conditions/sickle-cell-anemia/diagnosis-treatment/drc-20355882</w:t>
      </w:r>
    </w:p>
    <w:p>
      <w:pPr>
        <w:pStyle w:val="12"/>
        <w:spacing w:line="276" w:lineRule="auto"/>
        <w:ind w:left="0"/>
        <w:jc w:val="both"/>
        <w:rPr>
          <w:rStyle w:val="9"/>
          <w:rFonts w:ascii="Times New Roman" w:hAnsi="Times New Roman" w:eastAsia="宋体" w:cs="Times New Roman"/>
          <w:color w:val="auto"/>
          <w:sz w:val="24"/>
          <w:szCs w:val="24"/>
          <w:lang w:eastAsia="zh-CN"/>
        </w:rPr>
      </w:pPr>
      <w:r>
        <w:fldChar w:fldCharType="begin"/>
      </w:r>
      <w:r>
        <w:instrText xml:space="preserve"> HYPERLINK "https://seekingalpha.com/article/4273643-global-blood-therapeutics-raining-desert-voxelotor" </w:instrText>
      </w:r>
      <w:r>
        <w:fldChar w:fldCharType="separate"/>
      </w:r>
      <w:r>
        <w:rPr>
          <w:rStyle w:val="8"/>
          <w:rFonts w:ascii="Times New Roman" w:hAnsi="Times New Roman" w:eastAsia="宋体" w:cs="Times New Roman"/>
          <w:color w:val="auto"/>
          <w:sz w:val="24"/>
          <w:szCs w:val="24"/>
          <w:lang w:eastAsia="zh-CN"/>
        </w:rPr>
        <w:t>https://seekingalpha.com/article/4273643-global-blood-therapeutics-raining-desert-voxelotor</w:t>
      </w:r>
      <w:r>
        <w:rPr>
          <w:rStyle w:val="8"/>
          <w:rFonts w:ascii="Times New Roman" w:hAnsi="Times New Roman" w:eastAsia="宋体" w:cs="Times New Roman"/>
          <w:color w:val="auto"/>
          <w:sz w:val="24"/>
          <w:szCs w:val="24"/>
          <w:lang w:eastAsia="zh-CN"/>
        </w:rPr>
        <w:fldChar w:fldCharType="end"/>
      </w:r>
    </w:p>
    <w:p>
      <w:pPr>
        <w:pStyle w:val="12"/>
        <w:spacing w:line="276" w:lineRule="auto"/>
        <w:ind w:left="0"/>
        <w:jc w:val="both"/>
        <w:rPr>
          <w:rFonts w:ascii="Times New Roman" w:hAnsi="Times New Roman" w:eastAsia="宋体" w:cs="Times New Roman"/>
          <w:sz w:val="24"/>
          <w:szCs w:val="24"/>
          <w:lang w:eastAsia="zh-CN"/>
        </w:rPr>
      </w:pPr>
      <w:r>
        <w:fldChar w:fldCharType="begin"/>
      </w:r>
      <w:r>
        <w:instrText xml:space="preserve"> HYPERLINK "https://seekingalpha.com/article/4264205-global-blood-remains-track-transformational-year" </w:instrText>
      </w:r>
      <w:r>
        <w:fldChar w:fldCharType="separate"/>
      </w:r>
      <w:r>
        <w:rPr>
          <w:rStyle w:val="8"/>
          <w:rFonts w:ascii="Times New Roman" w:hAnsi="Times New Roman" w:cs="Times New Roman"/>
          <w:color w:val="auto"/>
          <w:sz w:val="24"/>
          <w:szCs w:val="24"/>
        </w:rPr>
        <w:t>https://seekingalpha.com/article/4264205-global-blood-remains-track-transformational-year</w:t>
      </w:r>
      <w:r>
        <w:rPr>
          <w:rStyle w:val="8"/>
          <w:rFonts w:ascii="Times New Roman" w:hAnsi="Times New Roman" w:cs="Times New Roman"/>
          <w:color w:val="auto"/>
          <w:sz w:val="24"/>
          <w:szCs w:val="24"/>
        </w:rPr>
        <w:fldChar w:fldCharType="end"/>
      </w:r>
    </w:p>
    <w:p>
      <w:pPr>
        <w:pStyle w:val="12"/>
        <w:spacing w:line="276" w:lineRule="auto"/>
        <w:ind w:left="0"/>
        <w:jc w:val="both"/>
        <w:rPr>
          <w:rFonts w:ascii="Arial" w:hAnsi="Arial" w:cs="Arial"/>
          <w:b/>
          <w:sz w:val="28"/>
          <w:szCs w:val="28"/>
        </w:rPr>
      </w:pPr>
    </w:p>
    <w:p>
      <w:pPr>
        <w:pStyle w:val="12"/>
        <w:spacing w:line="276" w:lineRule="auto"/>
        <w:ind w:left="0"/>
        <w:jc w:val="both"/>
        <w:rPr>
          <w:rFonts w:ascii="Arial" w:hAnsi="Arial" w:cs="Arial"/>
          <w:b/>
          <w:sz w:val="28"/>
          <w:szCs w:val="28"/>
        </w:rPr>
      </w:pPr>
    </w:p>
    <w:p>
      <w:pPr>
        <w:pStyle w:val="12"/>
        <w:spacing w:line="276" w:lineRule="auto"/>
        <w:ind w:left="0"/>
        <w:jc w:val="both"/>
        <w:rPr>
          <w:rFonts w:ascii="Arial" w:hAnsi="Arial" w:cs="Arial"/>
          <w:b/>
          <w:sz w:val="28"/>
          <w:szCs w:val="28"/>
        </w:rPr>
      </w:pPr>
    </w:p>
    <w:p>
      <w:pPr>
        <w:pStyle w:val="12"/>
        <w:spacing w:line="276" w:lineRule="auto"/>
        <w:ind w:left="0"/>
        <w:jc w:val="both"/>
        <w:rPr>
          <w:rFonts w:ascii="Arial" w:hAnsi="Arial" w:cs="Arial"/>
          <w:b/>
          <w:sz w:val="28"/>
          <w:szCs w:val="28"/>
        </w:rPr>
      </w:pPr>
    </w:p>
    <w:p>
      <w:pPr>
        <w:pStyle w:val="12"/>
        <w:spacing w:line="276" w:lineRule="auto"/>
        <w:ind w:left="0"/>
        <w:jc w:val="both"/>
        <w:rPr>
          <w:rFonts w:ascii="Arial" w:hAnsi="Arial" w:cs="Arial"/>
          <w:b/>
          <w:sz w:val="28"/>
          <w:szCs w:val="28"/>
        </w:rPr>
      </w:pPr>
    </w:p>
    <w:p>
      <w:pPr>
        <w:pStyle w:val="12"/>
        <w:spacing w:line="276" w:lineRule="auto"/>
        <w:ind w:left="0"/>
        <w:jc w:val="both"/>
        <w:rPr>
          <w:rFonts w:ascii="Arial" w:hAnsi="Arial" w:cs="Arial"/>
          <w:b/>
          <w:sz w:val="28"/>
          <w:szCs w:val="28"/>
        </w:rPr>
      </w:pPr>
    </w:p>
    <w:p>
      <w:pPr>
        <w:pStyle w:val="12"/>
        <w:spacing w:line="276" w:lineRule="auto"/>
        <w:ind w:left="0"/>
        <w:jc w:val="both"/>
        <w:rPr>
          <w:rFonts w:ascii="Arial" w:hAnsi="Arial" w:cs="Arial"/>
          <w:b/>
          <w:sz w:val="28"/>
          <w:szCs w:val="28"/>
        </w:rPr>
      </w:pPr>
    </w:p>
    <w:p>
      <w:pPr>
        <w:pStyle w:val="12"/>
        <w:spacing w:line="276" w:lineRule="auto"/>
        <w:ind w:left="0"/>
        <w:jc w:val="both"/>
        <w:rPr>
          <w:rFonts w:ascii="Arial" w:hAnsi="Arial" w:cs="Arial"/>
          <w:b/>
          <w:sz w:val="28"/>
          <w:szCs w:val="28"/>
        </w:rPr>
      </w:pPr>
    </w:p>
    <w:p>
      <w:pPr>
        <w:pStyle w:val="12"/>
        <w:spacing w:line="276" w:lineRule="auto"/>
        <w:ind w:left="0"/>
        <w:jc w:val="both"/>
        <w:rPr>
          <w:rFonts w:ascii="Arial" w:hAnsi="Arial" w:cs="Arial"/>
          <w:b/>
          <w:sz w:val="28"/>
          <w:szCs w:val="28"/>
        </w:rPr>
      </w:pPr>
    </w:p>
    <w:p>
      <w:pPr>
        <w:pStyle w:val="12"/>
        <w:spacing w:line="276" w:lineRule="auto"/>
        <w:ind w:left="0"/>
        <w:jc w:val="both"/>
        <w:rPr>
          <w:rFonts w:ascii="Arial" w:hAnsi="Arial" w:cs="Arial"/>
          <w:b/>
          <w:sz w:val="28"/>
          <w:szCs w:val="28"/>
        </w:rPr>
      </w:pPr>
    </w:p>
    <w:p>
      <w:pPr>
        <w:pStyle w:val="12"/>
        <w:spacing w:line="276" w:lineRule="auto"/>
        <w:ind w:left="0"/>
        <w:jc w:val="both"/>
        <w:rPr>
          <w:rFonts w:ascii="Arial" w:hAnsi="Arial" w:cs="Arial"/>
          <w:b/>
          <w:sz w:val="28"/>
          <w:szCs w:val="28"/>
        </w:rPr>
      </w:pPr>
    </w:p>
    <w:p>
      <w:pPr>
        <w:pStyle w:val="12"/>
        <w:spacing w:line="276" w:lineRule="auto"/>
        <w:ind w:left="0"/>
        <w:jc w:val="both"/>
        <w:rPr>
          <w:rFonts w:ascii="Arial" w:hAnsi="Arial" w:cs="Arial"/>
          <w:b/>
          <w:sz w:val="28"/>
          <w:szCs w:val="28"/>
        </w:rPr>
      </w:pPr>
    </w:p>
    <w:p>
      <w:pPr>
        <w:pStyle w:val="12"/>
        <w:spacing w:line="276" w:lineRule="auto"/>
        <w:ind w:left="0"/>
        <w:jc w:val="both"/>
        <w:rPr>
          <w:rFonts w:ascii="Arial" w:hAnsi="Arial" w:cs="Arial"/>
          <w:b/>
          <w:sz w:val="28"/>
          <w:szCs w:val="28"/>
        </w:rPr>
      </w:pPr>
    </w:p>
    <w:p>
      <w:pPr>
        <w:pStyle w:val="12"/>
        <w:spacing w:line="276" w:lineRule="auto"/>
        <w:ind w:left="0"/>
        <w:jc w:val="both"/>
        <w:rPr>
          <w:rFonts w:ascii="Arial" w:hAnsi="Arial" w:cs="Arial"/>
          <w:b/>
          <w:sz w:val="28"/>
          <w:szCs w:val="28"/>
        </w:rPr>
      </w:pPr>
    </w:p>
    <w:p>
      <w:pPr>
        <w:pStyle w:val="12"/>
        <w:spacing w:line="276" w:lineRule="auto"/>
        <w:ind w:left="0"/>
        <w:jc w:val="both"/>
        <w:rPr>
          <w:rFonts w:ascii="Arial" w:hAnsi="Arial" w:cs="Arial"/>
          <w:b/>
          <w:sz w:val="28"/>
          <w:szCs w:val="28"/>
        </w:rPr>
      </w:pPr>
    </w:p>
    <w:p>
      <w:pPr>
        <w:pStyle w:val="12"/>
        <w:spacing w:line="276" w:lineRule="auto"/>
        <w:ind w:left="0"/>
        <w:jc w:val="both"/>
        <w:rPr>
          <w:rFonts w:ascii="Arial" w:hAnsi="Arial" w:cs="Arial"/>
          <w:b/>
          <w:sz w:val="28"/>
          <w:szCs w:val="28"/>
        </w:rPr>
      </w:pPr>
    </w:p>
    <w:p>
      <w:pPr>
        <w:pStyle w:val="12"/>
        <w:spacing w:line="276" w:lineRule="auto"/>
        <w:ind w:left="0"/>
        <w:jc w:val="both"/>
        <w:rPr>
          <w:rFonts w:ascii="Arial" w:hAnsi="Arial" w:cs="Arial"/>
          <w:b/>
          <w:sz w:val="28"/>
          <w:szCs w:val="28"/>
        </w:rPr>
      </w:pPr>
    </w:p>
    <w:p>
      <w:pPr>
        <w:pStyle w:val="12"/>
        <w:spacing w:line="276" w:lineRule="auto"/>
        <w:ind w:left="0"/>
        <w:jc w:val="both"/>
        <w:rPr>
          <w:rFonts w:ascii="Arial" w:hAnsi="Arial" w:cs="Arial"/>
          <w:b/>
          <w:sz w:val="28"/>
          <w:szCs w:val="28"/>
        </w:rPr>
      </w:pPr>
    </w:p>
    <w:p>
      <w:pPr>
        <w:pStyle w:val="12"/>
        <w:spacing w:line="276" w:lineRule="auto"/>
        <w:ind w:left="0"/>
        <w:jc w:val="both"/>
        <w:rPr>
          <w:rFonts w:ascii="Arial" w:hAnsi="Arial" w:cs="Arial"/>
          <w:b/>
          <w:sz w:val="28"/>
          <w:szCs w:val="28"/>
        </w:rPr>
      </w:pPr>
    </w:p>
    <w:p>
      <w:pPr>
        <w:pStyle w:val="12"/>
        <w:spacing w:line="276" w:lineRule="auto"/>
        <w:ind w:left="0"/>
        <w:jc w:val="both"/>
        <w:rPr>
          <w:rFonts w:ascii="Arial" w:hAnsi="Arial" w:cs="Arial"/>
          <w:b/>
          <w:sz w:val="28"/>
          <w:szCs w:val="28"/>
        </w:rPr>
      </w:pPr>
    </w:p>
    <w:p>
      <w:pPr>
        <w:pStyle w:val="12"/>
        <w:spacing w:line="276" w:lineRule="auto"/>
        <w:ind w:left="0"/>
        <w:jc w:val="both"/>
        <w:rPr>
          <w:rFonts w:ascii="Arial" w:hAnsi="Arial" w:cs="Arial"/>
          <w:b/>
          <w:sz w:val="28"/>
          <w:szCs w:val="28"/>
        </w:rPr>
      </w:pPr>
    </w:p>
    <w:p>
      <w:pPr>
        <w:pStyle w:val="12"/>
        <w:spacing w:line="276" w:lineRule="auto"/>
        <w:ind w:left="0"/>
        <w:jc w:val="both"/>
        <w:rPr>
          <w:rFonts w:ascii="Arial" w:hAnsi="Arial" w:cs="Arial"/>
          <w:b/>
          <w:sz w:val="28"/>
          <w:szCs w:val="28"/>
        </w:rPr>
      </w:pPr>
    </w:p>
    <w:p>
      <w:pPr>
        <w:pStyle w:val="12"/>
        <w:spacing w:line="276" w:lineRule="auto"/>
        <w:ind w:left="0"/>
        <w:jc w:val="both"/>
        <w:rPr>
          <w:rFonts w:ascii="Arial" w:hAnsi="Arial" w:cs="Arial"/>
          <w:b/>
          <w:sz w:val="28"/>
          <w:szCs w:val="28"/>
        </w:rPr>
      </w:pPr>
    </w:p>
    <w:p>
      <w:pPr>
        <w:spacing w:line="276" w:lineRule="auto"/>
        <w:jc w:val="both"/>
        <w:rPr>
          <w:rFonts w:ascii="Arial" w:hAnsi="Arial" w:cs="Arial"/>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Times New Roman"/>
    <w:panose1 w:val="00000000000000000000"/>
    <w:charset w:val="00"/>
    <w:family w:val="roman"/>
    <w:pitch w:val="default"/>
    <w:sig w:usb0="00000000" w:usb1="00000000" w:usb2="00000008" w:usb3="00000000" w:csb0="000001FF" w:csb1="00000000"/>
  </w:font>
  <w:font w:name="Helvetica Neue">
    <w:altName w:val="Corbel"/>
    <w:panose1 w:val="00000000000000000000"/>
    <w:charset w:val="00"/>
    <w:family w:val="auto"/>
    <w:pitch w:val="default"/>
    <w:sig w:usb0="00000000" w:usb1="00000000" w:usb2="00000010" w:usb3="00000000" w:csb0="00000000" w:csb1="00000000"/>
  </w:font>
  <w:font w:name="Helvetica">
    <w:altName w:val="Arial"/>
    <w:panose1 w:val="020B0604020202020204"/>
    <w:charset w:val="00"/>
    <w:family w:val="auto"/>
    <w:pitch w:val="default"/>
    <w:sig w:usb0="00000000" w:usb1="00000000" w:usb2="00000000" w:usb3="00000000" w:csb0="2000019F" w:csb1="4F010000"/>
  </w:font>
  <w:font w:name="Arial">
    <w:panose1 w:val="020B0604020202020204"/>
    <w:charset w:val="00"/>
    <w:family w:val="swiss"/>
    <w:pitch w:val="default"/>
    <w:sig w:usb0="E0002EFF" w:usb1="C000785B"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Elle Investments</w:t>
    </w:r>
    <w:r>
      <w:tab/>
    </w:r>
    <w:r>
      <w:ptab w:relativeTo="margin" w:alignment="right" w:leader="none"/>
    </w:r>
    <w:r>
      <w:t>GBT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528F5"/>
    <w:multiLevelType w:val="multilevel"/>
    <w:tmpl w:val="55C528F5"/>
    <w:lvl w:ilvl="0" w:tentative="0">
      <w:start w:val="4"/>
      <w:numFmt w:val="bullet"/>
      <w:lvlText w:val="-"/>
      <w:lvlJc w:val="left"/>
      <w:pPr>
        <w:ind w:left="720" w:hanging="360"/>
      </w:pPr>
      <w:rPr>
        <w:rFonts w:hint="default" w:ascii="Times" w:hAnsi="Times"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E92487B"/>
    <w:multiLevelType w:val="multilevel"/>
    <w:tmpl w:val="5E92487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EFF7AEAD"/>
    <w:rsid w:val="001728F6"/>
    <w:rsid w:val="002A40ED"/>
    <w:rsid w:val="002D55B6"/>
    <w:rsid w:val="004304F4"/>
    <w:rsid w:val="004F3E0E"/>
    <w:rsid w:val="00530DF1"/>
    <w:rsid w:val="00551499"/>
    <w:rsid w:val="00611B23"/>
    <w:rsid w:val="006405F8"/>
    <w:rsid w:val="006F153F"/>
    <w:rsid w:val="007123D0"/>
    <w:rsid w:val="00723124"/>
    <w:rsid w:val="00730CC4"/>
    <w:rsid w:val="008E1B57"/>
    <w:rsid w:val="008E6A8C"/>
    <w:rsid w:val="009055D6"/>
    <w:rsid w:val="00A4276E"/>
    <w:rsid w:val="00AC1296"/>
    <w:rsid w:val="00AD4699"/>
    <w:rsid w:val="00AE44C9"/>
    <w:rsid w:val="00B40561"/>
    <w:rsid w:val="00BD3E99"/>
    <w:rsid w:val="00C071DA"/>
    <w:rsid w:val="00C101F4"/>
    <w:rsid w:val="00FA1EED"/>
    <w:rsid w:val="00FB5517"/>
    <w:rsid w:val="0CF47A6F"/>
    <w:rsid w:val="471303B0"/>
    <w:rsid w:val="5DFFD12D"/>
    <w:rsid w:val="5E6D1A68"/>
    <w:rsid w:val="7DFAB1D6"/>
    <w:rsid w:val="7EF722D1"/>
    <w:rsid w:val="7EFF5E6C"/>
    <w:rsid w:val="EFF7AEAD"/>
    <w:rsid w:val="F3F7FE80"/>
    <w:rsid w:val="F7F7F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6">
    <w:name w:val="Default Paragraph Font"/>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rFonts w:ascii="DejaVu Sans" w:hAnsi="DejaVu Sans"/>
      <w:sz w:val="18"/>
    </w:rPr>
  </w:style>
  <w:style w:type="table" w:styleId="5">
    <w:name w:val="Table Grid"/>
    <w:basedOn w:val="4"/>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Strong"/>
    <w:basedOn w:val="6"/>
    <w:qFormat/>
    <w:uiPriority w:val="22"/>
    <w:rPr>
      <w:b/>
      <w:bCs/>
    </w:rPr>
  </w:style>
  <w:style w:type="character" w:styleId="8">
    <w:name w:val="FollowedHyperlink"/>
    <w:basedOn w:val="6"/>
    <w:uiPriority w:val="0"/>
    <w:rPr>
      <w:color w:val="800080"/>
      <w:u w:val="single"/>
    </w:rPr>
  </w:style>
  <w:style w:type="character" w:styleId="9">
    <w:name w:val="Hyperlink"/>
    <w:basedOn w:val="6"/>
    <w:qFormat/>
    <w:uiPriority w:val="0"/>
    <w:rPr>
      <w:color w:val="0000FF"/>
      <w:u w:val="single"/>
    </w:rPr>
  </w:style>
  <w:style w:type="paragraph" w:customStyle="1" w:styleId="10">
    <w:name w:val="p1"/>
    <w:basedOn w:val="1"/>
    <w:uiPriority w:val="0"/>
    <w:pPr>
      <w:spacing w:after="0" w:line="380" w:lineRule="atLeast"/>
    </w:pPr>
    <w:rPr>
      <w:rFonts w:ascii="Helvetica Neue" w:hAnsi="Helvetica Neue" w:eastAsia="Helvetica Neue" w:cs="Times New Roman"/>
      <w:color w:val="000000"/>
      <w:sz w:val="26"/>
      <w:szCs w:val="26"/>
      <w:lang w:eastAsia="zh-CN"/>
    </w:rPr>
  </w:style>
  <w:style w:type="paragraph" w:customStyle="1" w:styleId="11">
    <w:name w:val="p2"/>
    <w:basedOn w:val="1"/>
    <w:uiPriority w:val="0"/>
    <w:pPr>
      <w:spacing w:after="0" w:line="380" w:lineRule="atLeast"/>
    </w:pPr>
    <w:rPr>
      <w:rFonts w:ascii="Helvetica Neue" w:hAnsi="Helvetica Neue" w:eastAsia="Helvetica Neue" w:cs="Times New Roman"/>
      <w:color w:val="000000"/>
      <w:sz w:val="26"/>
      <w:szCs w:val="26"/>
      <w:lang w:eastAsia="zh-CN"/>
    </w:rPr>
  </w:style>
  <w:style w:type="paragraph" w:customStyle="1" w:styleId="12">
    <w:name w:val="List Paragraph1"/>
    <w:basedOn w:val="1"/>
    <w:qFormat/>
    <w:uiPriority w:val="34"/>
    <w:pPr>
      <w:ind w:left="720"/>
      <w:contextualSpacing/>
    </w:pPr>
  </w:style>
  <w:style w:type="character" w:customStyle="1" w:styleId="13">
    <w:name w:val="font11"/>
    <w:basedOn w:val="6"/>
    <w:qFormat/>
    <w:uiPriority w:val="0"/>
    <w:rPr>
      <w:rFonts w:hint="default" w:ascii="Helvetica" w:hAnsi="Helvetica" w:eastAsia="Helvetica" w:cs="Helvetica"/>
      <w:color w:val="565656"/>
      <w:sz w:val="22"/>
      <w:szCs w:val="22"/>
      <w:u w:val="none"/>
    </w:rPr>
  </w:style>
  <w:style w:type="paragraph" w:customStyle="1" w:styleId="14">
    <w:name w:val="List Paragraph2"/>
    <w:basedOn w:val="1"/>
    <w:uiPriority w:val="99"/>
    <w:pPr>
      <w:ind w:left="720"/>
      <w:contextualSpacing/>
    </w:pPr>
  </w:style>
  <w:style w:type="paragraph" w:customStyle="1" w:styleId="15">
    <w:name w:val="No Spacing1"/>
    <w:qFormat/>
    <w:uiPriority w:val="1"/>
    <w:pPr>
      <w:spacing w:after="0" w:line="240" w:lineRule="auto"/>
    </w:pPr>
    <w:rPr>
      <w:rFonts w:ascii="Calibri" w:hAnsi="Calibri" w:cs="Times New Roman" w:eastAsiaTheme="minorEastAsia"/>
      <w:sz w:val="24"/>
      <w:szCs w:val="24"/>
      <w:lang w:val="en-US" w:eastAsia="en-US" w:bidi="ar-SA"/>
    </w:rPr>
  </w:style>
  <w:style w:type="paragraph" w:styleId="16">
    <w:name w:val="No Spacing"/>
    <w:qFormat/>
    <w:uiPriority w:val="1"/>
    <w:pPr>
      <w:spacing w:after="0" w:line="240" w:lineRule="auto"/>
    </w:pPr>
    <w:rPr>
      <w:rFonts w:ascii="Calibri" w:hAnsi="Calibri" w:cs="Times New Roman" w:eastAsiaTheme="minorEastAsia"/>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University of Bridgeport</Company>
  <Pages>5</Pages>
  <Words>444</Words>
  <Characters>2532</Characters>
  <Lines>21</Lines>
  <Paragraphs>5</Paragraphs>
  <TotalTime>2</TotalTime>
  <ScaleCrop>false</ScaleCrop>
  <LinksUpToDate>false</LinksUpToDate>
  <CharactersWithSpaces>2971</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2019-08-16T15:02:00Z</dcterms:created>
  <dc:creator>wupeipei</dc:creator>
  <cp:lastModifiedBy>frank</cp:lastModifiedBy>
  <dcterms:modified xsi:type="dcterms:W3CDTF">2019-08-17T22:44:11Z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