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投资者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眼中，巴菲特被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认为是数一数二的价值投资者，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但是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实际上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，巴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老爷子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也是一名出色的宏观经济大师。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从1999年的互联网泡沫预言，到后来的08年金融危机增持银行股等等。我们可以看出巴老爷子的投资里面一方面预示着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对于未来经济的转型看法，另一方面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也暗示着他已着手为未来做准备。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2020 在</w:t>
      </w:r>
      <w:r>
        <w:rPr>
          <w:rFonts w:hint="eastAsia"/>
        </w:rPr>
        <w:t>疫情蔓延和低迷油价的双重打击下，美国能源行业面临空前困境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就连美国老牌页岩油企业切萨皮克能源（Chesapeake Energy）也支撑不住，轰然倒地，</w:t>
      </w:r>
      <w:r>
        <w:rPr>
          <w:rFonts w:hint="eastAsia"/>
          <w:lang w:val="en-US" w:eastAsia="zh-CN"/>
        </w:rPr>
        <w:t>一度成为</w:t>
      </w: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美股指数中表现最差的行业，</w:t>
      </w: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而在此情形下</w:t>
      </w:r>
      <w:r>
        <w:rPr>
          <w:rFonts w:hint="eastAsia"/>
        </w:rPr>
        <w:t>，“股神”巴菲特</w:t>
      </w:r>
      <w:r>
        <w:rPr>
          <w:rFonts w:hint="eastAsia"/>
          <w:lang w:val="en-US" w:eastAsia="zh-CN"/>
        </w:rPr>
        <w:t>却出售疯狂上涨的苹果（AAPL）而购买了雪佛龙（CVX），当时不少投资者认表示“迷之不解”，甚至有人说把老爷子老了，跟不上投资界的步伐了。回过头来分析下，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老爷子一直在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奉行他自己的原则：“别人恐慌时我贪婪，别人贪婪时我恐慌。”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小编今天带大家分析下把老爷子的投资逻辑在哪里？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去年巴老爷子投资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雪佛龙是近些年来对油气上游生产商公司的首次介入。2016年油价崩盘时巴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老爷子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抄底的是中游管道商金德摩根和下游炼化分销商Phillips66，而雪佛龙的商业模式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已生产汽油为主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，同时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结合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其资本运作和管理能力对整个资源储备组合进行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有效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管理。简单来说，就是伯克希尔在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16年的时候投资仍偏向于保守， 即便是09年再次介入能源行业也是通过西方石油收购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安纳达科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然后再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进行融资支持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，其操作方式仍是优先股加赠看涨期权。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小编来分析下为什么把老爷子会看上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雪佛龙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（CVX）,一方面由于疫情的影响，当时能源等行业都处于低迷时期，而CVX属于上游产业链，而上游生产的市场表现几乎只和油气挂钩，这就意味着巴老爷子在未来一段时间能源表现非常看好，小编个人觉得能源行业是一个国家经济发展的支柱性产业，已成为关系经济发展的命脉，无时无刻不牵动着国家的政治经济，而经济复苏对于能源的需求是必不可少的。所以巴老爷子才会认定能源业在不久的将来定会有好的表现。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间隔一个季度，市场也给巴老爷子一个大大的敬礼，事实证明，这个投资逻辑是非常成功的。 能源行业在指数中2020 年表现最差，而2021年却是表现最佳的行业之一。</w:t>
      </w:r>
    </w:p>
    <w:p>
      <w:pPr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p>
      <w:pP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</w:pPr>
    </w:p>
    <w:p>
      <w:pP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6373B"/>
    <w:rsid w:val="7C00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frank</dc:creator>
  <cp:lastModifiedBy>frank</cp:lastModifiedBy>
  <dcterms:modified xsi:type="dcterms:W3CDTF">2021-03-23T19:20:29Z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