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散户套的最牢3支股票，即将大涨？</w:t>
      </w:r>
    </w:p>
    <w:p>
      <w:pPr>
        <w:jc w:val="center"/>
        <w:rPr>
          <w:rFonts w:hint="default"/>
          <w:b/>
          <w:bCs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>在股市交易中，如果把股市中的资金比喻成为羊的话，那么散户就是狼，而</w:t>
      </w:r>
      <w:r>
        <w:rPr>
          <w:rFonts w:hint="eastAsia"/>
          <w:sz w:val="15"/>
          <w:szCs w:val="15"/>
          <w:lang w:val="en-US" w:eastAsia="zh-CN"/>
        </w:rPr>
        <w:t>机构</w:t>
      </w:r>
      <w:r>
        <w:rPr>
          <w:rFonts w:hint="default"/>
          <w:sz w:val="15"/>
          <w:szCs w:val="15"/>
          <w:lang w:val="en-US" w:eastAsia="zh-CN"/>
        </w:rPr>
        <w:t>是老虎。狼吃羊，老虎吃狼也吃羊。</w:t>
      </w:r>
      <w:r>
        <w:rPr>
          <w:rFonts w:hint="eastAsia"/>
          <w:sz w:val="15"/>
          <w:szCs w:val="15"/>
          <w:lang w:val="en-US" w:eastAsia="zh-CN"/>
        </w:rPr>
        <w:t>机构</w:t>
      </w:r>
      <w:r>
        <w:rPr>
          <w:rFonts w:hint="default"/>
          <w:sz w:val="15"/>
          <w:szCs w:val="15"/>
          <w:lang w:val="en-US" w:eastAsia="zh-CN"/>
        </w:rPr>
        <w:t>的目的跟散户</w:t>
      </w:r>
      <w:r>
        <w:rPr>
          <w:rFonts w:hint="eastAsia"/>
          <w:sz w:val="15"/>
          <w:szCs w:val="15"/>
          <w:lang w:val="en-US" w:eastAsia="zh-CN"/>
        </w:rPr>
        <w:t>是</w:t>
      </w:r>
      <w:r>
        <w:rPr>
          <w:rFonts w:hint="default"/>
          <w:sz w:val="15"/>
          <w:szCs w:val="15"/>
          <w:lang w:val="en-US" w:eastAsia="zh-CN"/>
        </w:rPr>
        <w:t>一样</w:t>
      </w:r>
      <w:r>
        <w:rPr>
          <w:rFonts w:hint="eastAsia"/>
          <w:sz w:val="15"/>
          <w:szCs w:val="15"/>
          <w:lang w:val="en-US" w:eastAsia="zh-CN"/>
        </w:rPr>
        <w:t>的</w:t>
      </w:r>
      <w:r>
        <w:rPr>
          <w:rFonts w:hint="default"/>
          <w:sz w:val="15"/>
          <w:szCs w:val="15"/>
          <w:lang w:val="en-US" w:eastAsia="zh-CN"/>
        </w:rPr>
        <w:t>，都是在股市中获利，但是</w:t>
      </w:r>
      <w:r>
        <w:rPr>
          <w:rFonts w:hint="eastAsia"/>
          <w:sz w:val="15"/>
          <w:szCs w:val="15"/>
          <w:lang w:val="en-US" w:eastAsia="zh-CN"/>
        </w:rPr>
        <w:t>机构</w:t>
      </w:r>
      <w:r>
        <w:rPr>
          <w:rFonts w:hint="default"/>
          <w:sz w:val="15"/>
          <w:szCs w:val="15"/>
          <w:lang w:val="en-US" w:eastAsia="zh-CN"/>
        </w:rPr>
        <w:t>因资金</w:t>
      </w:r>
      <w:r>
        <w:rPr>
          <w:rFonts w:hint="eastAsia"/>
          <w:sz w:val="15"/>
          <w:szCs w:val="15"/>
          <w:lang w:val="en-US" w:eastAsia="zh-CN"/>
        </w:rPr>
        <w:t>，</w:t>
      </w:r>
      <w:r>
        <w:rPr>
          <w:rFonts w:hint="default"/>
          <w:sz w:val="15"/>
          <w:szCs w:val="15"/>
          <w:lang w:val="en-US" w:eastAsia="zh-CN"/>
        </w:rPr>
        <w:t>技术</w:t>
      </w:r>
      <w:r>
        <w:rPr>
          <w:rFonts w:hint="eastAsia"/>
          <w:sz w:val="15"/>
          <w:szCs w:val="15"/>
          <w:lang w:val="en-US" w:eastAsia="zh-CN"/>
        </w:rPr>
        <w:t>和人力</w:t>
      </w:r>
      <w:r>
        <w:rPr>
          <w:rFonts w:hint="default"/>
          <w:sz w:val="15"/>
          <w:szCs w:val="15"/>
          <w:lang w:val="en-US" w:eastAsia="zh-CN"/>
        </w:rPr>
        <w:t>优势，往往能对</w:t>
      </w:r>
      <w:r>
        <w:rPr>
          <w:rFonts w:hint="eastAsia"/>
          <w:sz w:val="15"/>
          <w:szCs w:val="15"/>
          <w:lang w:val="en-US" w:eastAsia="zh-CN"/>
        </w:rPr>
        <w:t>股价有很好地把控。但散户却不一样，即使被套住了，也很难判断是否应该及时止损。今天小编搜集了些套的比较牢股票，从基本面的分析方法（Top-down）来给大家看下这些股票是否值得死扛？</w:t>
      </w:r>
    </w:p>
    <w:p>
      <w:pPr>
        <w:rPr>
          <w:rFonts w:hint="default"/>
          <w:sz w:val="15"/>
          <w:szCs w:val="15"/>
          <w:lang w:val="en-US" w:eastAsia="zh-CN"/>
        </w:rPr>
      </w:pP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</w:rPr>
        <w:t>BOMN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波士顿奥马哈 （BOMN）</w:t>
      </w:r>
      <w:r>
        <w:rPr>
          <w:rFonts w:hint="eastAsia"/>
          <w:sz w:val="15"/>
          <w:szCs w:val="15"/>
          <w:lang w:val="en-US" w:eastAsia="zh-CN"/>
        </w:rPr>
        <w:t>一家与众不同的公司</w:t>
      </w:r>
      <w:r>
        <w:rPr>
          <w:rFonts w:hint="eastAsia"/>
          <w:sz w:val="15"/>
          <w:szCs w:val="15"/>
        </w:rPr>
        <w:t>。</w:t>
      </w:r>
      <w:r>
        <w:rPr>
          <w:rFonts w:hint="eastAsia"/>
          <w:sz w:val="15"/>
          <w:szCs w:val="15"/>
          <w:lang w:val="en-US" w:eastAsia="zh-CN"/>
        </w:rPr>
        <w:t>其商业模式与</w:t>
      </w:r>
      <w:r>
        <w:rPr>
          <w:rFonts w:hint="eastAsia"/>
          <w:sz w:val="15"/>
          <w:szCs w:val="15"/>
        </w:rPr>
        <w:t>早期的伯克希尔·哈撒韦公司 （BRK.A）</w:t>
      </w:r>
      <w:r>
        <w:rPr>
          <w:rFonts w:hint="eastAsia"/>
          <w:sz w:val="15"/>
          <w:szCs w:val="15"/>
          <w:lang w:val="en-US" w:eastAsia="zh-CN"/>
        </w:rPr>
        <w:t>很类似，但</w:t>
      </w:r>
      <w:r>
        <w:rPr>
          <w:rFonts w:hint="eastAsia"/>
          <w:sz w:val="15"/>
          <w:szCs w:val="15"/>
        </w:rPr>
        <w:t>相比，BOMN</w:t>
      </w:r>
      <w:r>
        <w:rPr>
          <w:rFonts w:hint="eastAsia"/>
          <w:sz w:val="15"/>
          <w:szCs w:val="15"/>
          <w:lang w:val="en-US" w:eastAsia="zh-CN"/>
        </w:rPr>
        <w:t>的特殊之处在于其旗下的</w:t>
      </w:r>
      <w:r>
        <w:rPr>
          <w:rFonts w:hint="eastAsia"/>
          <w:sz w:val="15"/>
          <w:szCs w:val="15"/>
        </w:rPr>
        <w:t>一些子公司，在其他几家公司中拥有少数股权，并拥有普通股投资组合。它还有一个特殊目的的收购公司SPAC，</w:t>
      </w:r>
      <w:r>
        <w:rPr>
          <w:rFonts w:hint="eastAsia"/>
          <w:sz w:val="15"/>
          <w:szCs w:val="15"/>
          <w:lang w:val="en-US" w:eastAsia="zh-CN"/>
        </w:rPr>
        <w:t>曾经</w:t>
      </w:r>
      <w:r>
        <w:rPr>
          <w:rFonts w:hint="eastAsia"/>
          <w:sz w:val="15"/>
          <w:szCs w:val="15"/>
        </w:rPr>
        <w:t>赞助了一家名为Yellowstone Acquisition（YSAC）的公司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BOMN仍在</w:t>
      </w:r>
      <w:r>
        <w:rPr>
          <w:rFonts w:hint="eastAsia"/>
          <w:sz w:val="15"/>
          <w:szCs w:val="15"/>
          <w:lang w:val="en-US" w:eastAsia="zh-CN"/>
        </w:rPr>
        <w:t>继续</w:t>
      </w:r>
      <w:r>
        <w:rPr>
          <w:rFonts w:hint="eastAsia"/>
          <w:sz w:val="15"/>
          <w:szCs w:val="15"/>
        </w:rPr>
        <w:t>寻找</w:t>
      </w:r>
      <w:r>
        <w:rPr>
          <w:rFonts w:hint="eastAsia"/>
          <w:sz w:val="15"/>
          <w:szCs w:val="15"/>
          <w:lang w:val="en-US" w:eastAsia="zh-CN"/>
        </w:rPr>
        <w:t>投资效益高的</w:t>
      </w:r>
      <w:r>
        <w:rPr>
          <w:rFonts w:hint="eastAsia"/>
          <w:sz w:val="15"/>
          <w:szCs w:val="15"/>
        </w:rPr>
        <w:t>上市的公司。</w:t>
      </w:r>
    </w:p>
    <w:p>
      <w:pPr>
        <w:rPr>
          <w:rFonts w:hint="eastAsia"/>
          <w:sz w:val="15"/>
          <w:szCs w:val="15"/>
        </w:rPr>
      </w:pPr>
      <w:bookmarkStart w:id="0" w:name="_GoBack"/>
      <w:bookmarkEnd w:id="0"/>
    </w:p>
    <w:p>
      <w:pPr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BOMN最近的价格走势</w:t>
      </w:r>
      <w:r>
        <w:rPr>
          <w:rFonts w:hint="eastAsia"/>
          <w:sz w:val="15"/>
          <w:szCs w:val="15"/>
          <w:lang w:val="en-US" w:eastAsia="zh-CN"/>
        </w:rPr>
        <w:t>突</w:t>
      </w:r>
      <w:r>
        <w:rPr>
          <w:rFonts w:hint="eastAsia"/>
          <w:sz w:val="15"/>
          <w:szCs w:val="15"/>
        </w:rPr>
        <w:t>显了这样一个事实，即市场并不真正知道如何对</w:t>
      </w:r>
      <w:r>
        <w:rPr>
          <w:rFonts w:hint="eastAsia"/>
          <w:sz w:val="15"/>
          <w:szCs w:val="15"/>
          <w:lang w:val="en-US" w:eastAsia="zh-CN"/>
        </w:rPr>
        <w:t>该</w:t>
      </w:r>
      <w:r>
        <w:rPr>
          <w:rFonts w:hint="eastAsia"/>
          <w:sz w:val="15"/>
          <w:szCs w:val="15"/>
        </w:rPr>
        <w:t>公司进行估值。</w:t>
      </w:r>
      <w:r>
        <w:rPr>
          <w:rFonts w:hint="eastAsia"/>
          <w:sz w:val="15"/>
          <w:szCs w:val="15"/>
          <w:lang w:val="en-US" w:eastAsia="zh-CN"/>
        </w:rPr>
        <w:t>由于利好消息的影响</w:t>
      </w:r>
      <w:r>
        <w:rPr>
          <w:rFonts w:hint="eastAsia"/>
          <w:sz w:val="15"/>
          <w:szCs w:val="15"/>
        </w:rPr>
        <w:t>，BOMN的股价从</w:t>
      </w:r>
      <w:r>
        <w:rPr>
          <w:rFonts w:hint="eastAsia"/>
          <w:sz w:val="15"/>
          <w:szCs w:val="15"/>
          <w:lang w:val="en-US" w:eastAsia="zh-CN"/>
        </w:rPr>
        <w:t>去年</w:t>
      </w:r>
      <w:r>
        <w:rPr>
          <w:rFonts w:hint="eastAsia"/>
          <w:sz w:val="15"/>
          <w:szCs w:val="15"/>
        </w:rPr>
        <w:t>9月份的约15美元飙升至2021年早些时候的近50美元。BOMN正在使用伯克希尔哈撒韦模型来长期创造股东价值，而很少关注快速获利。公司的管理团队已经显示出他们明智地分配资本的能力</w:t>
      </w:r>
      <w:r>
        <w:rPr>
          <w:rFonts w:hint="eastAsia"/>
          <w:sz w:val="15"/>
          <w:szCs w:val="15"/>
          <w:lang w:eastAsia="zh-CN"/>
        </w:rPr>
        <w:t>。</w:t>
      </w:r>
    </w:p>
    <w:p>
      <w:pPr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val="en-US" w:eastAsia="zh-CN"/>
        </w:rPr>
        <w:t>但从2月中旬开始，股价已腰斩至25美金，主要是因为</w:t>
      </w:r>
      <w:r>
        <w:rPr>
          <w:rFonts w:hint="eastAsia"/>
          <w:sz w:val="15"/>
          <w:szCs w:val="15"/>
        </w:rPr>
        <w:t>该公司最近宣布了二次股票发行</w:t>
      </w:r>
      <w:r>
        <w:rPr>
          <w:rFonts w:hint="eastAsia"/>
          <w:sz w:val="15"/>
          <w:szCs w:val="15"/>
          <w:lang w:eastAsia="zh-CN"/>
        </w:rPr>
        <w:t>。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但从基本面及其是哪个业模式上来讲并没有大的问题。</w:t>
      </w:r>
    </w:p>
    <w:p>
      <w:pPr>
        <w:rPr>
          <w:rFonts w:hint="eastAsia"/>
          <w:sz w:val="15"/>
          <w:szCs w:val="15"/>
          <w:lang w:eastAsia="zh-CN"/>
        </w:rPr>
      </w:pPr>
    </w:p>
    <w:p>
      <w:pPr>
        <w:rPr>
          <w:rFonts w:hint="eastAsia"/>
          <w:sz w:val="15"/>
          <w:szCs w:val="15"/>
          <w:lang w:eastAsia="zh-CN"/>
        </w:rPr>
      </w:pPr>
    </w:p>
    <w:p>
      <w:pPr>
        <w:rPr>
          <w:rFonts w:hint="eastAsia" w:eastAsiaTheme="minorEastAsia"/>
          <w:b/>
          <w:bCs/>
          <w:sz w:val="15"/>
          <w:szCs w:val="15"/>
          <w:lang w:eastAsia="zh-CN"/>
        </w:rPr>
      </w:pPr>
      <w:r>
        <w:rPr>
          <w:rFonts w:hint="eastAsia"/>
          <w:b/>
          <w:bCs/>
          <w:sz w:val="15"/>
          <w:szCs w:val="15"/>
        </w:rPr>
        <w:t>迫切需要颠覆性行业中的颠覆性参与者</w:t>
      </w:r>
      <w:r>
        <w:rPr>
          <w:rFonts w:hint="eastAsia"/>
          <w:b/>
          <w:bCs/>
          <w:sz w:val="15"/>
          <w:szCs w:val="15"/>
          <w:lang w:eastAsia="zh-CN"/>
        </w:rPr>
        <w:t>（</w:t>
      </w:r>
      <w:r>
        <w:rPr>
          <w:rFonts w:hint="eastAsia"/>
          <w:b/>
          <w:bCs/>
          <w:sz w:val="15"/>
          <w:szCs w:val="15"/>
          <w:lang w:val="en-US" w:eastAsia="zh-CN"/>
        </w:rPr>
        <w:t>LMND</w:t>
      </w:r>
      <w:r>
        <w:rPr>
          <w:rFonts w:hint="eastAsia"/>
          <w:b/>
          <w:bCs/>
          <w:sz w:val="15"/>
          <w:szCs w:val="15"/>
          <w:lang w:eastAsia="zh-CN"/>
        </w:rPr>
        <w:t>）</w:t>
      </w:r>
    </w:p>
    <w:p>
      <w:pPr>
        <w:rPr>
          <w:rFonts w:hint="eastAsia"/>
          <w:b/>
          <w:bCs/>
          <w:sz w:val="15"/>
          <w:szCs w:val="15"/>
        </w:rPr>
      </w:pP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令人震惊的是，保险颠覆者柠檬水 （Lemonade）（LMND）从52周的高点下跌了近50％。到2020年末</w:t>
      </w:r>
      <w:r>
        <w:rPr>
          <w:rFonts w:hint="eastAsia"/>
          <w:sz w:val="15"/>
          <w:szCs w:val="15"/>
          <w:lang w:eastAsia="zh-CN"/>
        </w:rPr>
        <w:t>，</w:t>
      </w:r>
      <w:r>
        <w:rPr>
          <w:rFonts w:hint="eastAsia"/>
          <w:sz w:val="15"/>
          <w:szCs w:val="15"/>
        </w:rPr>
        <w:t>该公司</w:t>
      </w:r>
      <w:r>
        <w:rPr>
          <w:rFonts w:hint="eastAsia"/>
          <w:sz w:val="15"/>
          <w:szCs w:val="15"/>
          <w:lang w:val="en-US" w:eastAsia="zh-CN"/>
        </w:rPr>
        <w:t>成功地</w:t>
      </w:r>
      <w:r>
        <w:rPr>
          <w:rFonts w:hint="eastAsia"/>
          <w:sz w:val="15"/>
          <w:szCs w:val="15"/>
        </w:rPr>
        <w:t>吸引了100万名客户，</w:t>
      </w:r>
      <w:r>
        <w:rPr>
          <w:rFonts w:hint="eastAsia"/>
          <w:sz w:val="15"/>
          <w:szCs w:val="15"/>
          <w:lang w:val="en-US" w:eastAsia="zh-CN"/>
        </w:rPr>
        <w:t>只</w:t>
      </w:r>
      <w:r>
        <w:rPr>
          <w:rFonts w:hint="eastAsia"/>
          <w:sz w:val="15"/>
          <w:szCs w:val="15"/>
        </w:rPr>
        <w:t>花了市场上最大的保险公司的一小部分时间就达到了相同的里程碑。第四季度，有效保费同比增长87％，公司的赔付率显着提高，并且随着时间的流逝，客户平均花费更多。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</w:rPr>
        <w:t>最重要的是，Lemonade刚刚在第一季度进入了</w:t>
      </w:r>
      <w:r>
        <w:rPr>
          <w:rFonts w:hint="eastAsia"/>
          <w:sz w:val="15"/>
          <w:szCs w:val="15"/>
          <w:lang w:val="en-US" w:eastAsia="zh-CN"/>
        </w:rPr>
        <w:t>定</w:t>
      </w:r>
      <w:r>
        <w:rPr>
          <w:rFonts w:hint="eastAsia"/>
          <w:sz w:val="15"/>
          <w:szCs w:val="15"/>
        </w:rPr>
        <w:t>期人寿保险市场</w:t>
      </w:r>
      <w:r>
        <w:rPr>
          <w:rFonts w:hint="eastAsia"/>
          <w:sz w:val="15"/>
          <w:szCs w:val="15"/>
          <w:lang w:eastAsia="zh-CN"/>
        </w:rPr>
        <w:t>。</w:t>
      </w:r>
      <w:r>
        <w:rPr>
          <w:rFonts w:hint="eastAsia"/>
          <w:sz w:val="15"/>
          <w:szCs w:val="15"/>
        </w:rPr>
        <w:t>到目前为止，</w:t>
      </w:r>
      <w:r>
        <w:rPr>
          <w:rFonts w:hint="eastAsia"/>
          <w:sz w:val="15"/>
          <w:szCs w:val="15"/>
          <w:lang w:val="en-US" w:eastAsia="zh-CN"/>
        </w:rPr>
        <w:t>大众对该公司的</w:t>
      </w:r>
      <w:r>
        <w:rPr>
          <w:rFonts w:hint="eastAsia"/>
          <w:sz w:val="15"/>
          <w:szCs w:val="15"/>
        </w:rPr>
        <w:t>评论通常都很</w:t>
      </w:r>
      <w:r>
        <w:rPr>
          <w:rFonts w:hint="eastAsia"/>
          <w:sz w:val="15"/>
          <w:szCs w:val="15"/>
          <w:lang w:val="en-US" w:eastAsia="zh-CN"/>
        </w:rPr>
        <w:t>好</w:t>
      </w:r>
      <w:r>
        <w:rPr>
          <w:rFonts w:hint="eastAsia"/>
          <w:sz w:val="15"/>
          <w:szCs w:val="15"/>
        </w:rPr>
        <w:t>。人寿保险</w:t>
      </w:r>
      <w:r>
        <w:rPr>
          <w:rFonts w:hint="eastAsia"/>
          <w:sz w:val="15"/>
          <w:szCs w:val="15"/>
          <w:lang w:val="en-US" w:eastAsia="zh-CN"/>
        </w:rPr>
        <w:t>市场有</w:t>
      </w:r>
      <w:r>
        <w:rPr>
          <w:rFonts w:hint="eastAsia"/>
          <w:sz w:val="15"/>
          <w:szCs w:val="15"/>
        </w:rPr>
        <w:t>$ 800</w:t>
      </w:r>
      <w:r>
        <w:rPr>
          <w:rFonts w:hint="eastAsia"/>
          <w:sz w:val="15"/>
          <w:szCs w:val="15"/>
          <w:lang w:val="en-US" w:eastAsia="zh-CN"/>
        </w:rPr>
        <w:t xml:space="preserve"> Billion这么大</w:t>
      </w:r>
      <w:r>
        <w:rPr>
          <w:rFonts w:hint="eastAsia"/>
          <w:sz w:val="15"/>
          <w:szCs w:val="15"/>
        </w:rPr>
        <w:t>，</w:t>
      </w:r>
      <w:r>
        <w:rPr>
          <w:rFonts w:hint="eastAsia"/>
          <w:sz w:val="15"/>
          <w:szCs w:val="15"/>
          <w:lang w:val="en-US" w:eastAsia="zh-CN"/>
        </w:rPr>
        <w:t>只有少部分市场份额被占据，另外</w:t>
      </w:r>
      <w:r>
        <w:rPr>
          <w:rFonts w:hint="eastAsia"/>
          <w:sz w:val="15"/>
          <w:szCs w:val="15"/>
        </w:rPr>
        <w:t>申请人寿保险的过程是</w:t>
      </w:r>
      <w:r>
        <w:rPr>
          <w:rFonts w:hint="eastAsia"/>
          <w:sz w:val="15"/>
          <w:szCs w:val="15"/>
          <w:lang w:val="en-US" w:eastAsia="zh-CN"/>
        </w:rPr>
        <w:t>非常缓慢且复杂的</w:t>
      </w:r>
      <w:r>
        <w:rPr>
          <w:rFonts w:hint="eastAsia"/>
          <w:sz w:val="15"/>
          <w:szCs w:val="15"/>
        </w:rPr>
        <w:t>，许多人</w:t>
      </w:r>
      <w:r>
        <w:rPr>
          <w:rFonts w:hint="eastAsia"/>
          <w:sz w:val="15"/>
          <w:szCs w:val="15"/>
          <w:lang w:val="en-US" w:eastAsia="zh-CN"/>
        </w:rPr>
        <w:t>有可能会半途而废。</w:t>
      </w:r>
      <w:r>
        <w:rPr>
          <w:rFonts w:hint="eastAsia"/>
          <w:sz w:val="15"/>
          <w:szCs w:val="15"/>
        </w:rPr>
        <w:t>如果公司能够</w:t>
      </w:r>
      <w:r>
        <w:rPr>
          <w:rFonts w:hint="eastAsia"/>
          <w:sz w:val="15"/>
          <w:szCs w:val="15"/>
          <w:lang w:val="en-US" w:eastAsia="zh-CN"/>
        </w:rPr>
        <w:t>将</w:t>
      </w:r>
      <w:r>
        <w:rPr>
          <w:rFonts w:hint="eastAsia"/>
          <w:sz w:val="15"/>
          <w:szCs w:val="15"/>
        </w:rPr>
        <w:t>房主和房客的保险</w:t>
      </w:r>
      <w:r>
        <w:rPr>
          <w:rFonts w:hint="eastAsia"/>
          <w:sz w:val="15"/>
          <w:szCs w:val="15"/>
          <w:lang w:val="en-US" w:eastAsia="zh-CN"/>
        </w:rPr>
        <w:t>营销方式放在人寿保险上，那将会非常的成功，</w:t>
      </w:r>
      <w:r>
        <w:rPr>
          <w:rFonts w:hint="eastAsia"/>
          <w:sz w:val="15"/>
          <w:szCs w:val="15"/>
        </w:rPr>
        <w:t>Lemonade</w:t>
      </w:r>
      <w:r>
        <w:rPr>
          <w:rFonts w:hint="eastAsia"/>
          <w:sz w:val="15"/>
          <w:szCs w:val="15"/>
          <w:lang w:val="en-US" w:eastAsia="zh-CN"/>
        </w:rPr>
        <w:t>将会有很大的增长潜力。</w:t>
      </w: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eastAsia"/>
          <w:b/>
          <w:bCs/>
          <w:sz w:val="15"/>
          <w:szCs w:val="15"/>
        </w:rPr>
      </w:pPr>
    </w:p>
    <w:p>
      <w:pPr>
        <w:rPr>
          <w:rFonts w:hint="eastAsia"/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保持对Chamath的信仰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>小编</w:t>
      </w:r>
      <w:r>
        <w:rPr>
          <w:rFonts w:hint="eastAsia"/>
          <w:sz w:val="15"/>
          <w:szCs w:val="15"/>
        </w:rPr>
        <w:t>认为SPAC的繁荣已经走得太远，但由顶尖管理人领导的空白支票公司仍然是存钱的好地方。现在，许多受到最密切关注的SPAC几乎都失去了溢价估值。</w:t>
      </w:r>
    </w:p>
    <w:p>
      <w:pPr>
        <w:rPr>
          <w:rFonts w:hint="eastAsia"/>
          <w:sz w:val="15"/>
          <w:szCs w:val="15"/>
        </w:rPr>
      </w:pP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因此，</w:t>
      </w:r>
      <w:r>
        <w:rPr>
          <w:rFonts w:hint="eastAsia"/>
          <w:sz w:val="15"/>
          <w:szCs w:val="15"/>
          <w:lang w:val="en-US" w:eastAsia="zh-CN"/>
        </w:rPr>
        <w:t>小编发现</w:t>
      </w:r>
      <w:r>
        <w:rPr>
          <w:rFonts w:hint="eastAsia"/>
          <w:sz w:val="15"/>
          <w:szCs w:val="15"/>
        </w:rPr>
        <w:t>由Chamath Palihapitiya领导的SPAC中添加了</w:t>
      </w:r>
      <w:r>
        <w:rPr>
          <w:rFonts w:hint="eastAsia"/>
          <w:sz w:val="15"/>
          <w:szCs w:val="15"/>
          <w:lang w:val="en-US" w:eastAsia="zh-CN"/>
        </w:rPr>
        <w:t>新的</w:t>
      </w:r>
      <w:r>
        <w:rPr>
          <w:rFonts w:hint="eastAsia"/>
          <w:sz w:val="15"/>
          <w:szCs w:val="15"/>
        </w:rPr>
        <w:t>寻找收购目标，即Social Capital Hedosophia Holdings IV （IPOD）和Social Capital Hedosophia Holdings VI （IPOF）。两者均分别从52周高点18.31美元和17.81美元下跌，现在的交易价格约为11美元。</w:t>
      </w:r>
    </w:p>
    <w:p>
      <w:pPr>
        <w:rPr>
          <w:rFonts w:hint="eastAsia"/>
          <w:sz w:val="15"/>
          <w:szCs w:val="15"/>
        </w:rPr>
      </w:pP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</w:rPr>
        <w:t>虽然我们不知道这些SPAC最终将公开上市的公司，但目前的风险/回报肯定更具吸引力。请记住，这些SPAC位于信托帐户中的每股价格约为10美元，与此同时，这在一定程度上设置了价格下限。Palihapitiya以前的SPAC拥有良好的记录-在四个确定的目标中，有三个比其10美元的SPAC IPO价格上涨了70％或更多，因此，在接近该价格的价格下，赔率</w:t>
      </w:r>
      <w:r>
        <w:rPr>
          <w:rFonts w:hint="eastAsia"/>
          <w:sz w:val="15"/>
          <w:szCs w:val="15"/>
          <w:lang w:val="en-US" w:eastAsia="zh-CN"/>
        </w:rPr>
        <w:t>少的投资会更好些。</w:t>
      </w: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接下来我们从技术面上来看下，这些股票的近期的走势。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159250" cy="2687320"/>
            <wp:effectExtent l="0" t="0" r="1270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BOMN短期趋势和中长期趋势偏空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虽然两个趋势都是偏空，我们看到日线走出的m头跌破颈线已经走完一倍距离，当前价格25区域也是前期的密集成交区。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价格需要越过下降趋势线确认回调结束，目标指向阻力区域30。支撑区域是24.8</w:t>
      </w:r>
    </w:p>
    <w:p>
      <w:pPr>
        <w:rPr>
          <w:rFonts w:hint="eastAsia"/>
          <w:sz w:val="15"/>
          <w:szCs w:val="15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050665" cy="28873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ascii="Arial" w:hAnsi="Arial" w:eastAsia="Helvetica" w:cs="Arial"/>
          <w:i w:val="0"/>
          <w:caps w:val="0"/>
          <w:color w:val="222222"/>
          <w:spacing w:val="0"/>
          <w:sz w:val="15"/>
          <w:szCs w:val="15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IPOD短期和中长期趋势偏空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15"/>
          <w:szCs w:val="15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虽然两个趋势偏空，我们看到日线价格回到了密集成交区，价格需要越过密集成交区的高点13.13，目标指向12，支撑区域是10.5</w:t>
      </w:r>
    </w:p>
    <w:p>
      <w:pPr>
        <w:rPr>
          <w:sz w:val="15"/>
          <w:szCs w:val="15"/>
        </w:rPr>
      </w:pPr>
    </w:p>
    <w:p>
      <w:pPr>
        <w:jc w:val="center"/>
      </w:pPr>
      <w:r>
        <w:drawing>
          <wp:inline distT="0" distB="0" distL="114300" distR="114300">
            <wp:extent cx="4193540" cy="2972435"/>
            <wp:effectExtent l="0" t="0" r="1651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LMND是2020年上市的次新股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短期趋势是盘整,中长期时间窗口观察。现在盘整的88区域正是2020年高点，这里是自然支撑平台处。价格2028年在越过88区域有大量的买盘介入推高股价，这里是他们的主要成本区域。</w:t>
      </w:r>
    </w:p>
    <w:p>
      <w:pPr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现在价格又一次回到这个区域是否会再一次的买入推高呢？</w:t>
      </w:r>
    </w:p>
    <w:p>
      <w:pPr>
        <w:rPr>
          <w:rFonts w:hint="eastAsia"/>
          <w:sz w:val="15"/>
          <w:szCs w:val="15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总的来讲，这些公司当前的技术面都不是很好的入点，但有些公司商业模式及未来发展前景还是很不错的。有些技术面上已经到达支撑区域，如果已经持久被套的小伙伴可以不着急抛售，就像硬币总是有俩面的，一面是当股票迅速剧烈下跌时，市场处于恐慌抛售中，而另一面则是也可能存在一个入场机会。还未入场的小伙伴可以等技术面上出现多头排列后，在将其列为持仓的备选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0499D"/>
    <w:rsid w:val="04515B7E"/>
    <w:rsid w:val="294C29A4"/>
    <w:rsid w:val="58A61E60"/>
    <w:rsid w:val="6171162C"/>
    <w:rsid w:val="620477AD"/>
    <w:rsid w:val="710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1626</Words>
  <Characters>1898</Characters>
  <Lines>0</Lines>
  <Paragraphs>0</Paragraphs>
  <TotalTime>112</TotalTime>
  <ScaleCrop>false</ScaleCrop>
  <LinksUpToDate>false</LinksUpToDate>
  <CharactersWithSpaces>1916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2021-04-13T01:56:00Z</dcterms:created>
  <dc:creator>妞</dc:creator>
  <cp:lastModifiedBy>妞</cp:lastModifiedBy>
  <dcterms:modified xsi:type="dcterms:W3CDTF">2021-04-13T20:17:04Z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