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1D" w:rsidRPr="008113D5" w:rsidRDefault="000805FD" w:rsidP="00C0291D">
      <w:pPr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b/>
        </w:rPr>
        <w:t>Chapter 7</w:t>
      </w:r>
    </w:p>
    <w:p w:rsidR="00C0291D" w:rsidRPr="008113D5" w:rsidRDefault="00C0291D" w:rsidP="00C0291D">
      <w:pPr>
        <w:widowControl w:val="0"/>
        <w:spacing w:line="220" w:lineRule="exact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spacing w:line="220" w:lineRule="exact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spacing w:line="180" w:lineRule="exact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spacing w:line="180" w:lineRule="exact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ind w:left="540" w:hanging="540"/>
        <w:rPr>
          <w:rFonts w:ascii="Times New Roman" w:hAnsi="Times New Roman"/>
        </w:rPr>
      </w:pPr>
      <w:r w:rsidRPr="008113D5">
        <w:rPr>
          <w:rFonts w:ascii="Times New Roman" w:hAnsi="Times New Roman"/>
        </w:rPr>
        <w:t>11.</w:t>
      </w:r>
      <w:r w:rsidRPr="008113D5">
        <w:rPr>
          <w:rFonts w:ascii="Times New Roman" w:hAnsi="Times New Roman"/>
        </w:rPr>
        <w:tab/>
      </w:r>
      <w:proofErr w:type="gramStart"/>
      <w:r w:rsidRPr="008113D5">
        <w:rPr>
          <w:rFonts w:ascii="Times New Roman" w:hAnsi="Times New Roman"/>
        </w:rPr>
        <w:t>a</w:t>
      </w:r>
      <w:proofErr w:type="gramEnd"/>
      <w:r w:rsidRPr="008113D5">
        <w:rPr>
          <w:rFonts w:ascii="Times New Roman" w:hAnsi="Times New Roman"/>
        </w:rPr>
        <w:t>.</w:t>
      </w:r>
    </w:p>
    <w:p w:rsidR="00C0291D" w:rsidRPr="008113D5" w:rsidRDefault="00C0291D" w:rsidP="00C0291D">
      <w:pPr>
        <w:widowControl w:val="0"/>
        <w:tabs>
          <w:tab w:val="center" w:pos="2736"/>
          <w:tab w:val="left" w:pos="4176"/>
          <w:tab w:val="left" w:pos="6336"/>
        </w:tabs>
        <w:ind w:left="1440"/>
        <w:rPr>
          <w:rFonts w:ascii="Times New Roman" w:hAnsi="Times New Roman"/>
        </w:rPr>
      </w:pPr>
      <w:r w:rsidRPr="008113D5">
        <w:rPr>
          <w:rFonts w:ascii="Times New Roman" w:hAnsi="Times New Roman"/>
        </w:rPr>
        <w:tab/>
      </w:r>
      <w:r w:rsidRPr="008113D5">
        <w:rPr>
          <w:rFonts w:ascii="Times New Roman" w:hAnsi="Times New Roman"/>
        </w:rPr>
        <w:object w:dxaOrig="6760" w:dyaOrig="5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9pt;height:261.95pt" o:ole="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25" DrawAspect="Content" ObjectID="_1580899748" r:id="rId6"/>
        </w:object>
      </w:r>
    </w:p>
    <w:p w:rsidR="00C0291D" w:rsidRPr="008113D5" w:rsidRDefault="00C0291D" w:rsidP="00C0291D">
      <w:pPr>
        <w:widowControl w:val="0"/>
        <w:spacing w:line="160" w:lineRule="exact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ind w:left="1080" w:right="-270"/>
        <w:rPr>
          <w:rFonts w:ascii="Times New Roman" w:hAnsi="Times New Roman"/>
        </w:rPr>
      </w:pPr>
      <w:r w:rsidRPr="008113D5">
        <w:rPr>
          <w:rFonts w:ascii="Times New Roman" w:hAnsi="Times New Roman"/>
        </w:rPr>
        <w:t xml:space="preserve">Even though it seems that gold is dominated by stocks, gold might still be an attractive asset to hold as a </w:t>
      </w:r>
      <w:r w:rsidRPr="008113D5">
        <w:rPr>
          <w:rFonts w:ascii="Times New Roman" w:hAnsi="Times New Roman"/>
          <w:i/>
        </w:rPr>
        <w:t>part</w:t>
      </w:r>
      <w:r w:rsidRPr="008113D5">
        <w:rPr>
          <w:rFonts w:ascii="Times New Roman" w:hAnsi="Times New Roman"/>
        </w:rPr>
        <w:t xml:space="preserve"> of a portfolio</w:t>
      </w:r>
      <w:r>
        <w:rPr>
          <w:rFonts w:ascii="Times New Roman" w:hAnsi="Times New Roman"/>
        </w:rPr>
        <w:t xml:space="preserve">. </w:t>
      </w:r>
      <w:r w:rsidRPr="008113D5">
        <w:rPr>
          <w:rFonts w:ascii="Times New Roman" w:hAnsi="Times New Roman"/>
        </w:rPr>
        <w:t>If the correlation between gold and stocks is sufficiently low</w:t>
      </w:r>
      <w:r>
        <w:rPr>
          <w:rFonts w:ascii="Times New Roman" w:hAnsi="Times New Roman"/>
        </w:rPr>
        <w:t xml:space="preserve"> (or even negative)</w:t>
      </w:r>
      <w:r w:rsidRPr="008113D5">
        <w:rPr>
          <w:rFonts w:ascii="Times New Roman" w:hAnsi="Times New Roman"/>
        </w:rPr>
        <w:t>, gold will be held as a component in a portfolio, specifically, the optimal tangency portfolio.</w:t>
      </w:r>
    </w:p>
    <w:p w:rsidR="00C0291D" w:rsidRPr="008113D5" w:rsidRDefault="00C0291D" w:rsidP="00C0291D">
      <w:pPr>
        <w:widowControl w:val="0"/>
        <w:spacing w:line="180" w:lineRule="exact"/>
        <w:rPr>
          <w:rFonts w:ascii="Times New Roman" w:hAnsi="Times New Roman"/>
        </w:rPr>
      </w:pPr>
    </w:p>
    <w:p w:rsidR="00C0291D" w:rsidRDefault="00C0291D" w:rsidP="00C0291D">
      <w:pPr>
        <w:widowControl w:val="0"/>
        <w:numPr>
          <w:ilvl w:val="0"/>
          <w:numId w:val="1"/>
        </w:numPr>
        <w:tabs>
          <w:tab w:val="clear" w:pos="1080"/>
        </w:tabs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8113D5">
        <w:rPr>
          <w:rFonts w:ascii="Times New Roman" w:hAnsi="Times New Roman"/>
        </w:rPr>
        <w:lastRenderedPageBreak/>
        <w:t xml:space="preserve">If the correlation between gold and stocks equals +1, then no one </w:t>
      </w:r>
      <w:r>
        <w:rPr>
          <w:rFonts w:ascii="Times New Roman" w:hAnsi="Times New Roman"/>
        </w:rPr>
        <w:t xml:space="preserve">would be willing to hold gold: its return is lower than stocks, its standard deviation is higher, </w:t>
      </w:r>
      <w:r w:rsidRPr="008F3C5F">
        <w:rPr>
          <w:rFonts w:ascii="Times New Roman" w:hAnsi="Times New Roman"/>
          <w:i/>
          <w:iCs/>
        </w:rPr>
        <w:t>and</w:t>
      </w:r>
      <w:r>
        <w:rPr>
          <w:rFonts w:ascii="Times New Roman" w:hAnsi="Times New Roman"/>
        </w:rPr>
        <w:t xml:space="preserve">, with perfect correlation, it offers no diversification benefits (such as those described in part </w:t>
      </w:r>
      <w:r w:rsidRPr="008F3C5F"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 xml:space="preserve">).  </w:t>
      </w:r>
      <w:r w:rsidRPr="008113D5">
        <w:rPr>
          <w:rFonts w:ascii="Times New Roman" w:hAnsi="Times New Roman"/>
        </w:rPr>
        <w:t>The optimal CAL would be comp</w:t>
      </w:r>
      <w:r>
        <w:rPr>
          <w:rFonts w:ascii="Times New Roman" w:hAnsi="Times New Roman"/>
        </w:rPr>
        <w:t>o</w:t>
      </w:r>
      <w:r w:rsidRPr="008113D5">
        <w:rPr>
          <w:rFonts w:ascii="Times New Roman" w:hAnsi="Times New Roman"/>
        </w:rPr>
        <w:t>sed of bills and stocks only</w:t>
      </w:r>
      <w:r>
        <w:rPr>
          <w:rFonts w:ascii="Times New Roman" w:hAnsi="Times New Roman"/>
        </w:rPr>
        <w:t xml:space="preserve">. </w:t>
      </w:r>
      <w:r w:rsidRPr="008113D5">
        <w:rPr>
          <w:rFonts w:ascii="Times New Roman" w:hAnsi="Times New Roman"/>
        </w:rPr>
        <w:t xml:space="preserve">Since the set of risk/return combinations of stocks and gold would plot as a straight line with a negative slope (see the following graph), </w:t>
      </w:r>
      <w:r>
        <w:rPr>
          <w:rFonts w:ascii="Times New Roman" w:hAnsi="Times New Roman"/>
        </w:rPr>
        <w:t xml:space="preserve">any portfolio that contains gold </w:t>
      </w:r>
      <w:r w:rsidRPr="008113D5">
        <w:rPr>
          <w:rFonts w:ascii="Times New Roman" w:hAnsi="Times New Roman"/>
        </w:rPr>
        <w:t>would be dominated by the stock portfolio</w:t>
      </w:r>
      <w:r>
        <w:rPr>
          <w:rFonts w:ascii="Times New Roman" w:hAnsi="Times New Roman"/>
        </w:rPr>
        <w:t xml:space="preserve">. </w:t>
      </w:r>
    </w:p>
    <w:p w:rsidR="00C0291D" w:rsidRDefault="00C0291D" w:rsidP="00C0291D">
      <w:pPr>
        <w:widowControl w:val="0"/>
        <w:ind w:left="1080" w:right="-270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rPr>
          <w:rFonts w:ascii="Times New Roman" w:hAnsi="Times New Roman"/>
        </w:rPr>
      </w:pPr>
    </w:p>
    <w:bookmarkStart w:id="0" w:name="_MON_1124008486"/>
    <w:bookmarkEnd w:id="0"/>
    <w:p w:rsidR="00C0291D" w:rsidRPr="008113D5" w:rsidRDefault="00C0291D" w:rsidP="00C0291D">
      <w:pPr>
        <w:widowControl w:val="0"/>
        <w:tabs>
          <w:tab w:val="center" w:pos="2736"/>
          <w:tab w:val="left" w:pos="4176"/>
          <w:tab w:val="left" w:pos="6336"/>
        </w:tabs>
        <w:ind w:left="1440"/>
        <w:rPr>
          <w:rFonts w:ascii="Times New Roman" w:hAnsi="Times New Roman"/>
        </w:rPr>
      </w:pPr>
      <w:r w:rsidRPr="00C0291D">
        <w:rPr>
          <w:rFonts w:ascii="Times New Roman" w:hAnsi="Times New Roman"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object w:dxaOrig="6526" w:dyaOrig="5221">
          <v:shape id="_x0000_i1026" type="#_x0000_t75" style="width:326.45pt;height:261.05pt" o:ole="" fillcolor="window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26" DrawAspect="Content" ObjectID="_1580899749" r:id="rId8"/>
        </w:object>
      </w:r>
    </w:p>
    <w:p w:rsidR="00C0291D" w:rsidRDefault="00C0291D" w:rsidP="00C0291D">
      <w:pPr>
        <w:widowControl w:val="0"/>
        <w:spacing w:line="220" w:lineRule="exact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numPr>
          <w:ilvl w:val="0"/>
          <w:numId w:val="1"/>
        </w:numPr>
        <w:tabs>
          <w:tab w:val="clear" w:pos="1080"/>
        </w:tabs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ab/>
        <w:t>O</w:t>
      </w:r>
      <w:r w:rsidRPr="008113D5">
        <w:rPr>
          <w:rFonts w:ascii="Times New Roman" w:hAnsi="Times New Roman"/>
        </w:rPr>
        <w:t xml:space="preserve">f course, this situation could not </w:t>
      </w:r>
      <w:r>
        <w:rPr>
          <w:rFonts w:ascii="Times New Roman" w:hAnsi="Times New Roman"/>
        </w:rPr>
        <w:t>be an equilibrium. As long as</w:t>
      </w:r>
      <w:r w:rsidRPr="008113D5">
        <w:rPr>
          <w:rFonts w:ascii="Times New Roman" w:hAnsi="Times New Roman"/>
        </w:rPr>
        <w:t xml:space="preserve"> no one </w:t>
      </w:r>
      <w:r>
        <w:rPr>
          <w:rFonts w:ascii="Times New Roman" w:hAnsi="Times New Roman"/>
        </w:rPr>
        <w:t>is willing to hold</w:t>
      </w:r>
      <w:r w:rsidRPr="008113D5">
        <w:rPr>
          <w:rFonts w:ascii="Times New Roman" w:hAnsi="Times New Roman"/>
        </w:rPr>
        <w:t xml:space="preserve"> gold, its price </w:t>
      </w:r>
      <w:r>
        <w:rPr>
          <w:rFonts w:ascii="Times New Roman" w:hAnsi="Times New Roman"/>
        </w:rPr>
        <w:t>will</w:t>
      </w:r>
      <w:r w:rsidRPr="008113D5">
        <w:rPr>
          <w:rFonts w:ascii="Times New Roman" w:hAnsi="Times New Roman"/>
        </w:rPr>
        <w:t xml:space="preserve"> fall and its expected rate of return </w:t>
      </w:r>
      <w:r>
        <w:rPr>
          <w:rFonts w:ascii="Times New Roman" w:hAnsi="Times New Roman"/>
        </w:rPr>
        <w:t>will</w:t>
      </w:r>
      <w:r w:rsidRPr="008113D5">
        <w:rPr>
          <w:rFonts w:ascii="Times New Roman" w:hAnsi="Times New Roman"/>
        </w:rPr>
        <w:t xml:space="preserve"> increase until it became sufficiently attractive to include in a portfolio.</w:t>
      </w:r>
    </w:p>
    <w:p w:rsidR="00C0291D" w:rsidRPr="008113D5" w:rsidRDefault="00C0291D" w:rsidP="00C0291D">
      <w:pPr>
        <w:widowControl w:val="0"/>
        <w:spacing w:line="220" w:lineRule="exact"/>
        <w:rPr>
          <w:rFonts w:ascii="Times New Roman" w:hAnsi="Times New Roman"/>
        </w:rPr>
      </w:pPr>
    </w:p>
    <w:p w:rsidR="00C0291D" w:rsidRPr="008113D5" w:rsidRDefault="00C0291D" w:rsidP="00C0291D">
      <w:pPr>
        <w:pStyle w:val="Footer"/>
        <w:widowControl w:val="0"/>
        <w:tabs>
          <w:tab w:val="clear" w:pos="4320"/>
          <w:tab w:val="clear" w:pos="8640"/>
        </w:tabs>
        <w:spacing w:line="220" w:lineRule="exact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spacing w:after="120"/>
        <w:ind w:left="540" w:hanging="540"/>
        <w:rPr>
          <w:rFonts w:ascii="Times New Roman" w:hAnsi="Times New Roman"/>
        </w:rPr>
      </w:pPr>
      <w:r w:rsidRPr="008113D5">
        <w:rPr>
          <w:rFonts w:ascii="Times New Roman" w:hAnsi="Times New Roman"/>
        </w:rPr>
        <w:t>12.</w:t>
      </w:r>
      <w:r w:rsidRPr="008113D5">
        <w:rPr>
          <w:rFonts w:ascii="Times New Roman" w:hAnsi="Times New Roman"/>
        </w:rPr>
        <w:tab/>
      </w:r>
    </w:p>
    <w:p w:rsidR="00C0291D" w:rsidRPr="008113D5" w:rsidRDefault="00C0291D" w:rsidP="00C0291D">
      <w:pPr>
        <w:widowControl w:val="0"/>
        <w:spacing w:after="120"/>
        <w:ind w:left="1080"/>
        <w:rPr>
          <w:rFonts w:ascii="Times New Roman" w:hAnsi="Times New Roman"/>
        </w:rPr>
      </w:pPr>
      <w:proofErr w:type="spellStart"/>
      <w:proofErr w:type="gramStart"/>
      <w:r w:rsidRPr="005C4C6E">
        <w:rPr>
          <w:rFonts w:ascii="Times New Roman" w:hAnsi="Times New Roman"/>
          <w:i/>
        </w:rPr>
        <w:t>w</w:t>
      </w:r>
      <w:r w:rsidRPr="005C4C6E">
        <w:rPr>
          <w:rFonts w:ascii="Times New Roman" w:hAnsi="Times New Roman"/>
          <w:i/>
          <w:vertAlign w:val="subscript"/>
        </w:rPr>
        <w:t>A</w:t>
      </w:r>
      <w:proofErr w:type="spellEnd"/>
      <w:proofErr w:type="gramEnd"/>
      <w:r w:rsidRPr="008113D5">
        <w:rPr>
          <w:rFonts w:ascii="Times New Roman" w:hAnsi="Times New Roman"/>
        </w:rPr>
        <w:t xml:space="preserve"> = 0.6667</w:t>
      </w:r>
    </w:p>
    <w:p w:rsidR="00C0291D" w:rsidRPr="008113D5" w:rsidRDefault="00C0291D" w:rsidP="00C0291D">
      <w:pPr>
        <w:pStyle w:val="BodyTextIndent3"/>
        <w:tabs>
          <w:tab w:val="clear" w:pos="1080"/>
        </w:tabs>
        <w:spacing w:after="120" w:line="240" w:lineRule="auto"/>
        <w:ind w:firstLine="0"/>
        <w:rPr>
          <w:rFonts w:ascii="Times New Roman" w:hAnsi="Times New Roman"/>
        </w:rPr>
      </w:pPr>
      <w:r w:rsidRPr="008113D5">
        <w:rPr>
          <w:rFonts w:ascii="Times New Roman" w:hAnsi="Times New Roman"/>
        </w:rPr>
        <w:t>The expected rate of return for this risk-free portfolio is:</w:t>
      </w:r>
    </w:p>
    <w:p w:rsidR="00C0291D" w:rsidRPr="008113D5" w:rsidRDefault="00C0291D" w:rsidP="00C0291D">
      <w:pPr>
        <w:widowControl w:val="0"/>
        <w:spacing w:after="120"/>
        <w:ind w:left="1080"/>
        <w:rPr>
          <w:rFonts w:ascii="Times New Roman" w:hAnsi="Times New Roman"/>
        </w:rPr>
      </w:pPr>
      <w:r w:rsidRPr="008113D5">
        <w:rPr>
          <w:rFonts w:ascii="Times New Roman" w:hAnsi="Times New Roman"/>
        </w:rPr>
        <w:t>11.667%</w:t>
      </w:r>
    </w:p>
    <w:p w:rsidR="00C0291D" w:rsidRPr="008113D5" w:rsidRDefault="00C0291D" w:rsidP="00C0291D">
      <w:pPr>
        <w:widowControl w:val="0"/>
        <w:ind w:left="540"/>
        <w:rPr>
          <w:rFonts w:ascii="Times New Roman" w:hAnsi="Times New Roman"/>
        </w:rPr>
      </w:pPr>
      <w:r w:rsidRPr="008113D5">
        <w:rPr>
          <w:rFonts w:ascii="Times New Roman" w:hAnsi="Times New Roman"/>
        </w:rPr>
        <w:t>Therefore, the risk-free rate is: 11.667%</w:t>
      </w:r>
    </w:p>
    <w:p w:rsidR="00C0291D" w:rsidRPr="008113D5" w:rsidRDefault="00C0291D" w:rsidP="00C0291D">
      <w:pPr>
        <w:widowControl w:val="0"/>
        <w:spacing w:line="220" w:lineRule="exact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spacing w:line="220" w:lineRule="exact"/>
        <w:rPr>
          <w:rFonts w:ascii="Times New Roman" w:hAnsi="Times New Roman"/>
        </w:rPr>
      </w:pPr>
    </w:p>
    <w:p w:rsidR="00C0291D" w:rsidRPr="008113D5" w:rsidRDefault="00C0291D" w:rsidP="000805FD">
      <w:pPr>
        <w:widowControl w:val="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0291D" w:rsidRPr="008113D5" w:rsidRDefault="00C0291D" w:rsidP="00C0291D">
      <w:pPr>
        <w:widowControl w:val="0"/>
        <w:ind w:right="-80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spacing w:line="360" w:lineRule="auto"/>
        <w:ind w:left="540" w:hanging="540"/>
        <w:rPr>
          <w:rFonts w:ascii="Times New Roman" w:hAnsi="Times New Roman"/>
        </w:rPr>
      </w:pPr>
      <w:r w:rsidRPr="008113D5">
        <w:rPr>
          <w:rFonts w:ascii="Times New Roman" w:hAnsi="Times New Roman"/>
        </w:rPr>
        <w:t>15.</w:t>
      </w:r>
      <w:r w:rsidRPr="008113D5">
        <w:rPr>
          <w:rFonts w:ascii="Times New Roman" w:hAnsi="Times New Roman"/>
        </w:rPr>
        <w:tab/>
        <w:t>The probability distribution is:</w:t>
      </w:r>
    </w:p>
    <w:tbl>
      <w:tblPr>
        <w:tblW w:w="0" w:type="auto"/>
        <w:tblInd w:w="558" w:type="dxa"/>
        <w:tblLook w:val="0000" w:firstRow="0" w:lastRow="0" w:firstColumn="0" w:lastColumn="0" w:noHBand="0" w:noVBand="0"/>
      </w:tblPr>
      <w:tblGrid>
        <w:gridCol w:w="1350"/>
        <w:gridCol w:w="1800"/>
      </w:tblGrid>
      <w:tr w:rsidR="00C0291D" w:rsidRPr="008113D5" w:rsidTr="00691395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bottom w:val="single" w:sz="4" w:space="0" w:color="auto"/>
            </w:tcBorders>
          </w:tcPr>
          <w:p w:rsidR="00C0291D" w:rsidRPr="008113D5" w:rsidRDefault="00C0291D" w:rsidP="00691395">
            <w:pPr>
              <w:widowControl w:val="0"/>
              <w:spacing w:line="280" w:lineRule="exact"/>
              <w:jc w:val="center"/>
              <w:rPr>
                <w:rFonts w:ascii="Times New Roman" w:hAnsi="Times New Roman"/>
              </w:rPr>
            </w:pPr>
            <w:r w:rsidRPr="008113D5">
              <w:rPr>
                <w:rFonts w:ascii="Times New Roman" w:hAnsi="Times New Roman"/>
              </w:rPr>
              <w:t>Probability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0291D" w:rsidRPr="008113D5" w:rsidRDefault="00C0291D" w:rsidP="00691395">
            <w:pPr>
              <w:widowControl w:val="0"/>
              <w:spacing w:line="280" w:lineRule="exact"/>
              <w:jc w:val="center"/>
              <w:rPr>
                <w:rFonts w:ascii="Times New Roman" w:hAnsi="Times New Roman"/>
              </w:rPr>
            </w:pPr>
            <w:r w:rsidRPr="008113D5">
              <w:rPr>
                <w:rFonts w:ascii="Times New Roman" w:hAnsi="Times New Roman"/>
              </w:rPr>
              <w:t>Rate of Return</w:t>
            </w:r>
          </w:p>
        </w:tc>
      </w:tr>
      <w:tr w:rsidR="00C0291D" w:rsidRPr="008113D5" w:rsidTr="00691395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auto"/>
            </w:tcBorders>
          </w:tcPr>
          <w:p w:rsidR="00C0291D" w:rsidRPr="008113D5" w:rsidRDefault="00C0291D" w:rsidP="00691395">
            <w:pPr>
              <w:widowControl w:val="0"/>
              <w:spacing w:line="280" w:lineRule="exact"/>
              <w:jc w:val="center"/>
              <w:rPr>
                <w:rFonts w:ascii="Times New Roman" w:hAnsi="Times New Roman"/>
              </w:rPr>
            </w:pPr>
            <w:r w:rsidRPr="008113D5">
              <w:rPr>
                <w:rFonts w:ascii="Times New Roman" w:hAnsi="Times New Roman"/>
              </w:rPr>
              <w:t>0.7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0291D" w:rsidRPr="008113D5" w:rsidRDefault="00C0291D" w:rsidP="00691395">
            <w:pPr>
              <w:widowControl w:val="0"/>
              <w:spacing w:line="280" w:lineRule="exact"/>
              <w:jc w:val="center"/>
              <w:rPr>
                <w:rFonts w:ascii="Times New Roman" w:hAnsi="Times New Roman"/>
              </w:rPr>
            </w:pPr>
            <w:r w:rsidRPr="008113D5">
              <w:rPr>
                <w:rFonts w:ascii="Times New Roman" w:hAnsi="Times New Roman"/>
              </w:rPr>
              <w:t>100%</w:t>
            </w:r>
          </w:p>
        </w:tc>
      </w:tr>
      <w:tr w:rsidR="00C0291D" w:rsidRPr="008113D5" w:rsidTr="00691395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:rsidR="00C0291D" w:rsidRPr="008113D5" w:rsidRDefault="00C0291D" w:rsidP="00691395">
            <w:pPr>
              <w:widowControl w:val="0"/>
              <w:spacing w:line="280" w:lineRule="exact"/>
              <w:jc w:val="center"/>
              <w:rPr>
                <w:rFonts w:ascii="Times New Roman" w:hAnsi="Times New Roman"/>
              </w:rPr>
            </w:pPr>
            <w:r w:rsidRPr="008113D5">
              <w:rPr>
                <w:rFonts w:ascii="Times New Roman" w:hAnsi="Times New Roman"/>
              </w:rPr>
              <w:t>0.3</w:t>
            </w:r>
          </w:p>
        </w:tc>
        <w:tc>
          <w:tcPr>
            <w:tcW w:w="1800" w:type="dxa"/>
          </w:tcPr>
          <w:p w:rsidR="00C0291D" w:rsidRPr="008113D5" w:rsidRDefault="00C0291D" w:rsidP="00691395">
            <w:pPr>
              <w:widowControl w:val="0"/>
              <w:spacing w:line="280" w:lineRule="exact"/>
              <w:jc w:val="center"/>
              <w:rPr>
                <w:rFonts w:ascii="Times New Roman" w:hAnsi="Times New Roman"/>
              </w:rPr>
            </w:pPr>
            <w:r w:rsidRPr="008113D5">
              <w:rPr>
                <w:rFonts w:ascii="Times New Roman" w:hAnsi="Times New Roman"/>
              </w:rPr>
              <w:t>−50</w:t>
            </w:r>
          </w:p>
        </w:tc>
      </w:tr>
    </w:tbl>
    <w:p w:rsidR="00C0291D" w:rsidRPr="008113D5" w:rsidRDefault="000805FD" w:rsidP="00C0291D">
      <w:pPr>
        <w:widowControl w:val="0"/>
        <w:spacing w:before="120" w:after="120"/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Mean </w:t>
      </w:r>
      <w:r w:rsidR="00C0291D" w:rsidRPr="008113D5">
        <w:rPr>
          <w:rFonts w:ascii="Times New Roman" w:hAnsi="Times New Roman"/>
        </w:rPr>
        <w:t>= 55%</w:t>
      </w:r>
    </w:p>
    <w:p w:rsidR="00C0291D" w:rsidRPr="008113D5" w:rsidRDefault="00C0291D" w:rsidP="00C0291D">
      <w:pPr>
        <w:widowControl w:val="0"/>
        <w:ind w:left="540" w:hanging="7"/>
        <w:rPr>
          <w:rFonts w:ascii="Times New Roman" w:hAnsi="Times New Roman"/>
        </w:rPr>
      </w:pPr>
      <w:r w:rsidRPr="008113D5">
        <w:rPr>
          <w:rFonts w:ascii="Times New Roman" w:hAnsi="Times New Roman"/>
        </w:rPr>
        <w:t>Standard deviation = 68.74%</w:t>
      </w:r>
    </w:p>
    <w:p w:rsidR="00C0291D" w:rsidRPr="008113D5" w:rsidRDefault="00C0291D" w:rsidP="00C0291D">
      <w:pPr>
        <w:widowControl w:val="0"/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rPr>
          <w:rFonts w:ascii="Times New Roman" w:hAnsi="Times New Roman"/>
        </w:rPr>
      </w:pPr>
    </w:p>
    <w:p w:rsidR="00C0291D" w:rsidRPr="008113D5" w:rsidRDefault="00C0291D" w:rsidP="000805FD">
      <w:pPr>
        <w:pStyle w:val="Footer"/>
        <w:widowControl w:val="0"/>
        <w:tabs>
          <w:tab w:val="clear" w:pos="4320"/>
          <w:tab w:val="clear" w:pos="8640"/>
        </w:tabs>
        <w:spacing w:after="120"/>
        <w:ind w:left="547" w:hanging="547"/>
        <w:rPr>
          <w:rFonts w:ascii="Times New Roman" w:hAnsi="Times New Roman"/>
        </w:rPr>
      </w:pPr>
      <w:r w:rsidRPr="008113D5">
        <w:rPr>
          <w:rFonts w:ascii="Times New Roman" w:hAnsi="Times New Roman"/>
        </w:rPr>
        <w:t>16.</w:t>
      </w:r>
      <w:r w:rsidRPr="008113D5">
        <w:rPr>
          <w:rFonts w:ascii="Times New Roman" w:hAnsi="Times New Roman"/>
        </w:rPr>
        <w:tab/>
      </w:r>
      <w:bookmarkStart w:id="1" w:name="_GoBack"/>
      <w:bookmarkEnd w:id="1"/>
      <w:proofErr w:type="gramStart"/>
      <w:r w:rsidRPr="005C4C6E">
        <w:rPr>
          <w:rFonts w:ascii="Times New Roman" w:hAnsi="Times New Roman"/>
          <w:i/>
        </w:rPr>
        <w:t>E</w:t>
      </w:r>
      <w:r w:rsidRPr="008113D5">
        <w:rPr>
          <w:rFonts w:ascii="Times New Roman" w:hAnsi="Times New Roman"/>
        </w:rPr>
        <w:t>(</w:t>
      </w:r>
      <w:proofErr w:type="spellStart"/>
      <w:proofErr w:type="gramEnd"/>
      <w:r w:rsidRPr="005C4C6E">
        <w:rPr>
          <w:rFonts w:ascii="Times New Roman" w:hAnsi="Times New Roman"/>
          <w:i/>
        </w:rPr>
        <w:t>r</w:t>
      </w:r>
      <w:r w:rsidRPr="005C4C6E">
        <w:rPr>
          <w:rFonts w:ascii="Times New Roman" w:hAnsi="Times New Roman"/>
          <w:i/>
          <w:vertAlign w:val="subscript"/>
        </w:rPr>
        <w:t>P</w:t>
      </w:r>
      <w:proofErr w:type="spellEnd"/>
      <w:r w:rsidRPr="008113D5">
        <w:rPr>
          <w:rFonts w:ascii="Times New Roman" w:hAnsi="Times New Roman"/>
        </w:rPr>
        <w:t>) = 25.5%</w:t>
      </w:r>
    </w:p>
    <w:p w:rsidR="00C0291D" w:rsidRPr="008113D5" w:rsidRDefault="00C0291D" w:rsidP="00C0291D">
      <w:pPr>
        <w:pStyle w:val="Footer"/>
        <w:widowControl w:val="0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C0291D" w:rsidRPr="008113D5" w:rsidRDefault="00C0291D" w:rsidP="00C0291D">
      <w:pPr>
        <w:widowControl w:val="0"/>
        <w:rPr>
          <w:rFonts w:ascii="Times New Roman" w:hAnsi="Times New Roman"/>
        </w:rPr>
      </w:pPr>
    </w:p>
    <w:p w:rsidR="00993396" w:rsidRDefault="00993396"/>
    <w:sectPr w:rsidR="009933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84D05"/>
    <w:multiLevelType w:val="singleLevel"/>
    <w:tmpl w:val="15886EA8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1D"/>
    <w:rsid w:val="000805FD"/>
    <w:rsid w:val="005E6D43"/>
    <w:rsid w:val="00993396"/>
    <w:rsid w:val="00C0291D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CF4D-D78D-49DD-A6AD-AC81F1E2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1D"/>
    <w:pPr>
      <w:spacing w:after="0" w:line="240" w:lineRule="auto"/>
    </w:pPr>
    <w:rPr>
      <w:rFonts w:ascii="Times" w:eastAsia="MS Mincho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2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291D"/>
    <w:rPr>
      <w:rFonts w:ascii="Times" w:eastAsia="MS Mincho" w:hAnsi="Times" w:cs="Times New Roman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C0291D"/>
    <w:pPr>
      <w:widowControl w:val="0"/>
      <w:tabs>
        <w:tab w:val="left" w:pos="540"/>
      </w:tabs>
      <w:ind w:left="540"/>
    </w:pPr>
  </w:style>
  <w:style w:type="character" w:customStyle="1" w:styleId="BodyTextIndent2Char">
    <w:name w:val="Body Text Indent 2 Char"/>
    <w:basedOn w:val="DefaultParagraphFont"/>
    <w:link w:val="BodyTextIndent2"/>
    <w:rsid w:val="00C0291D"/>
    <w:rPr>
      <w:rFonts w:ascii="Times" w:eastAsia="MS Mincho" w:hAnsi="Times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291D"/>
    <w:pPr>
      <w:widowControl w:val="0"/>
      <w:tabs>
        <w:tab w:val="left" w:pos="1080"/>
      </w:tabs>
      <w:spacing w:line="360" w:lineRule="auto"/>
      <w:ind w:left="540" w:hanging="540"/>
    </w:pPr>
  </w:style>
  <w:style w:type="character" w:customStyle="1" w:styleId="BodyTextIndent3Char">
    <w:name w:val="Body Text Indent 3 Char"/>
    <w:basedOn w:val="DefaultParagraphFont"/>
    <w:link w:val="BodyTextIndent3"/>
    <w:rsid w:val="00C0291D"/>
    <w:rPr>
      <w:rFonts w:ascii="Times" w:eastAsia="MS Mincho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Ying</dc:creator>
  <cp:keywords/>
  <dc:description/>
  <cp:lastModifiedBy>Zhang, Ying</cp:lastModifiedBy>
  <cp:revision>3</cp:revision>
  <dcterms:created xsi:type="dcterms:W3CDTF">2018-02-23T19:01:00Z</dcterms:created>
  <dcterms:modified xsi:type="dcterms:W3CDTF">2018-02-23T19:02:00Z</dcterms:modified>
</cp:coreProperties>
</file>